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C1B" w:rsidRPr="003F356C" w:rsidRDefault="003F356C">
      <w:pPr>
        <w:spacing w:after="0" w:line="245" w:lineRule="auto"/>
        <w:rPr>
          <w:rFonts w:asciiTheme="majorHAnsi" w:hAnsiTheme="majorHAnsi" w:cstheme="majorHAnsi"/>
        </w:rPr>
      </w:pPr>
      <w:r w:rsidRPr="003F356C">
        <w:rPr>
          <w:rFonts w:asciiTheme="majorHAnsi" w:hAnsiTheme="majorHAnsi" w:cstheme="majorHAnsi"/>
          <w:b/>
          <w:color w:val="2D5986"/>
          <w:sz w:val="28"/>
        </w:rPr>
        <w:t>Lordswood Boys' School Recruitment Pack</w:t>
      </w:r>
    </w:p>
    <w:p w:rsidR="00594C1B" w:rsidRPr="003F356C" w:rsidRDefault="00594C1B">
      <w:pPr>
        <w:pBdr>
          <w:bottom w:val="single" w:sz="6" w:space="1" w:color="B8C7D9"/>
        </w:pBdr>
        <w:spacing w:before="60" w:after="180"/>
        <w:rPr>
          <w:rFonts w:asciiTheme="majorHAnsi" w:hAnsiTheme="majorHAnsi" w:cstheme="majorHAnsi"/>
        </w:rPr>
      </w:pPr>
    </w:p>
    <w:p w:rsidR="00594C1B" w:rsidRPr="003F356C" w:rsidRDefault="003F356C">
      <w:pPr>
        <w:spacing w:after="80" w:line="245" w:lineRule="auto"/>
        <w:rPr>
          <w:rFonts w:asciiTheme="majorHAnsi" w:hAnsiTheme="majorHAnsi" w:cstheme="majorHAnsi"/>
        </w:rPr>
      </w:pPr>
      <w:r w:rsidRPr="003F356C">
        <w:rPr>
          <w:rFonts w:asciiTheme="majorHAnsi" w:hAnsiTheme="majorHAnsi" w:cstheme="majorHAnsi"/>
          <w:color w:val="5A5A5A"/>
          <w:sz w:val="26"/>
        </w:rPr>
        <w:t>Lordswood Boys' School | Central Academies Trust</w:t>
      </w:r>
    </w:p>
    <w:p w:rsidR="00594C1B" w:rsidRPr="003F356C" w:rsidRDefault="003F356C">
      <w:pPr>
        <w:spacing w:after="40" w:line="245" w:lineRule="auto"/>
        <w:rPr>
          <w:rFonts w:asciiTheme="majorHAnsi" w:hAnsiTheme="majorHAnsi" w:cstheme="majorHAnsi"/>
        </w:rPr>
      </w:pPr>
      <w:r w:rsidRPr="003F356C">
        <w:rPr>
          <w:rFonts w:asciiTheme="majorHAnsi" w:hAnsiTheme="majorHAnsi" w:cstheme="majorHAnsi"/>
          <w:b/>
          <w:color w:val="2D5986"/>
          <w:sz w:val="44"/>
        </w:rPr>
        <w:t>Academic Support &amp; Wellbeing</w:t>
      </w:r>
      <w:r>
        <w:rPr>
          <w:rFonts w:asciiTheme="majorHAnsi" w:hAnsiTheme="majorHAnsi" w:cstheme="majorHAnsi"/>
          <w:b/>
          <w:color w:val="2D5986"/>
          <w:sz w:val="44"/>
        </w:rPr>
        <w:t xml:space="preserve"> Manager</w:t>
      </w:r>
    </w:p>
    <w:p w:rsidR="00594C1B" w:rsidRPr="003F356C" w:rsidRDefault="003F356C">
      <w:pPr>
        <w:spacing w:line="245" w:lineRule="auto"/>
        <w:rPr>
          <w:rFonts w:asciiTheme="majorHAnsi" w:hAnsiTheme="majorHAnsi" w:cstheme="majorHAnsi"/>
        </w:rPr>
      </w:pPr>
      <w:r w:rsidRPr="003F356C">
        <w:rPr>
          <w:rFonts w:asciiTheme="majorHAnsi" w:hAnsiTheme="majorHAnsi" w:cstheme="majorHAnsi"/>
          <w:i/>
          <w:color w:val="5A5A5A"/>
          <w:sz w:val="18"/>
        </w:rPr>
        <w:t>Support staff post</w:t>
      </w:r>
      <w:bookmarkStart w:id="0" w:name="_GoBack"/>
      <w:bookmarkEnd w:id="0"/>
    </w:p>
    <w:p w:rsidR="00594C1B" w:rsidRPr="003F356C" w:rsidRDefault="003F356C">
      <w:pPr>
        <w:spacing w:before="240" w:after="120" w:line="245" w:lineRule="auto"/>
        <w:rPr>
          <w:rFonts w:asciiTheme="majorHAnsi" w:hAnsiTheme="majorHAnsi" w:cstheme="majorHAnsi"/>
        </w:rPr>
      </w:pPr>
      <w:r w:rsidRPr="003F356C">
        <w:rPr>
          <w:rFonts w:asciiTheme="majorHAnsi" w:hAnsiTheme="majorHAnsi" w:cstheme="majorHAnsi"/>
          <w:b/>
          <w:color w:val="2D5986"/>
          <w:sz w:val="24"/>
        </w:rPr>
        <w:t>Who are we?</w:t>
      </w:r>
    </w:p>
    <w:p w:rsidR="00594C1B" w:rsidRPr="003F356C" w:rsidRDefault="003F356C">
      <w:pPr>
        <w:spacing w:after="80" w:line="245" w:lineRule="auto"/>
        <w:rPr>
          <w:rFonts w:asciiTheme="majorHAnsi" w:hAnsiTheme="majorHAnsi" w:cstheme="majorHAnsi"/>
        </w:rPr>
      </w:pPr>
      <w:r w:rsidRPr="003F356C">
        <w:rPr>
          <w:rFonts w:asciiTheme="majorHAnsi" w:hAnsiTheme="majorHAnsi" w:cstheme="majorHAnsi"/>
          <w:sz w:val="18"/>
        </w:rPr>
        <w:t>Lordswood Boys' School is a thriving, ambitious and highly successful 11-16 school at the heart of Central Academies Trust. Outcomes across key measures are above or significantly above national averages, and the strength of our work with disadvantaged pupils has been recognised nationally, with the Secretary of State recently writing to congratulate the school on the outcomes achieved by this group. Over the last three years the school has grown significantly, and our latest inspection has reinforced the secure, sustained trajectory of improvement that has been built over more than a decade.</w:t>
      </w:r>
    </w:p>
    <w:p w:rsidR="00594C1B" w:rsidRPr="003F356C" w:rsidRDefault="003F356C">
      <w:pPr>
        <w:spacing w:after="80" w:line="245" w:lineRule="auto"/>
        <w:rPr>
          <w:rFonts w:asciiTheme="majorHAnsi" w:hAnsiTheme="majorHAnsi" w:cstheme="majorHAnsi"/>
        </w:rPr>
      </w:pPr>
      <w:r w:rsidRPr="003F356C">
        <w:rPr>
          <w:rFonts w:asciiTheme="majorHAnsi" w:hAnsiTheme="majorHAnsi" w:cstheme="majorHAnsi"/>
          <w:sz w:val="18"/>
        </w:rPr>
        <w:t>This makes now an exceptional time to join Lordswood Boys' School. You will become part of a flourishing environment filled with determined, optimistic young people and staff, united by a clear sense of purpose. We know what we do well, we are honest about what we need to do even better, and we are relentless in our ambition for every stakeholder. Rooted in our ethos that literacy builds success, and aligned with the trust-led ambition set out in the Schools White Paper, we are building a school and trust community with the confidence, capacity and moral purpose to grow.</w:t>
      </w:r>
    </w:p>
    <w:p w:rsidR="00594C1B" w:rsidRPr="003F356C" w:rsidRDefault="003F356C">
      <w:pPr>
        <w:spacing w:after="80" w:line="245" w:lineRule="auto"/>
        <w:rPr>
          <w:rFonts w:asciiTheme="majorHAnsi" w:hAnsiTheme="majorHAnsi" w:cstheme="majorHAnsi"/>
        </w:rPr>
      </w:pPr>
      <w:r w:rsidRPr="003F356C">
        <w:rPr>
          <w:rFonts w:asciiTheme="majorHAnsi" w:hAnsiTheme="majorHAnsi" w:cstheme="majorHAnsi"/>
          <w:sz w:val="18"/>
        </w:rPr>
        <w:t>At LBS, colleagues benefit from high-quality professional development, genuine opportunities to lead and influence, and a strong package of staff support. This includes our Westfield Health plan and employee support programme, with benefits linked to optical, dental and physiotherapy costs, access to a 24/7 doctor line / virtual GP, and wider health and wellbeing support designed to help colleagues feel valued, looked after and able to do their best work.</w:t>
      </w:r>
    </w:p>
    <w:p w:rsidR="00594C1B" w:rsidRPr="003F356C" w:rsidRDefault="003F356C">
      <w:pPr>
        <w:spacing w:before="80" w:after="120" w:line="245" w:lineRule="auto"/>
        <w:rPr>
          <w:rFonts w:asciiTheme="majorHAnsi" w:hAnsiTheme="majorHAnsi" w:cstheme="majorHAnsi"/>
        </w:rPr>
      </w:pPr>
      <w:r w:rsidRPr="003F356C">
        <w:rPr>
          <w:rFonts w:asciiTheme="majorHAnsi" w:hAnsiTheme="majorHAnsi" w:cstheme="majorHAnsi"/>
          <w:b/>
          <w:color w:val="2D5986"/>
          <w:sz w:val="24"/>
        </w:rPr>
        <w:t>About the role</w:t>
      </w:r>
    </w:p>
    <w:p w:rsidR="00594C1B" w:rsidRPr="003F356C" w:rsidRDefault="003F356C">
      <w:pPr>
        <w:spacing w:after="80" w:line="245" w:lineRule="auto"/>
        <w:rPr>
          <w:rFonts w:asciiTheme="majorHAnsi" w:hAnsiTheme="majorHAnsi" w:cstheme="majorHAnsi"/>
        </w:rPr>
      </w:pPr>
      <w:r w:rsidRPr="003F356C">
        <w:rPr>
          <w:rFonts w:asciiTheme="majorHAnsi" w:hAnsiTheme="majorHAnsi" w:cstheme="majorHAnsi"/>
          <w:sz w:val="18"/>
        </w:rPr>
        <w:t>We are seeking caring, capable and highly professional colleagues to join our inclusion provision as Academic Support &amp; Wellbeing staff. These roles sit at the intersection of learning, belonging and pastoral support, working closely with the SENDCo, subject leaders and pastoral teams to help pupils access success across the school day.</w:t>
      </w:r>
    </w:p>
    <w:p w:rsidR="00594C1B" w:rsidRPr="003F356C" w:rsidRDefault="003F356C">
      <w:pPr>
        <w:spacing w:after="80" w:line="245" w:lineRule="auto"/>
        <w:rPr>
          <w:rFonts w:asciiTheme="majorHAnsi" w:hAnsiTheme="majorHAnsi" w:cstheme="majorHAnsi"/>
        </w:rPr>
      </w:pPr>
      <w:r w:rsidRPr="003F356C">
        <w:rPr>
          <w:rFonts w:asciiTheme="majorHAnsi" w:hAnsiTheme="majorHAnsi" w:cstheme="majorHAnsi"/>
          <w:sz w:val="18"/>
        </w:rPr>
        <w:t>This is not a passive support role. We are looking for adults who can think, build trust, support learning, strengthen independence and help pupils overcome barriers with consistency, compassion and high expectations.</w:t>
      </w:r>
    </w:p>
    <w:p w:rsidR="00594C1B" w:rsidRPr="003F356C" w:rsidRDefault="003F356C">
      <w:pPr>
        <w:spacing w:after="80" w:line="245" w:lineRule="auto"/>
        <w:rPr>
          <w:rFonts w:asciiTheme="majorHAnsi" w:hAnsiTheme="majorHAnsi" w:cstheme="majorHAnsi"/>
        </w:rPr>
      </w:pPr>
      <w:r w:rsidRPr="003F356C">
        <w:rPr>
          <w:rFonts w:asciiTheme="majorHAnsi" w:hAnsiTheme="majorHAnsi" w:cstheme="majorHAnsi"/>
          <w:sz w:val="18"/>
        </w:rPr>
        <w:t>Academic Support &amp; Wellbeing colleagues make a profound difference to the daily experience of pupils. They help children regulate, participate, feel safe, engage with learning and develop confidence in themselves as learners. In a growing school with ambitious expectations, that contribution is both significant and deeply valued.</w:t>
      </w:r>
    </w:p>
    <w:p w:rsidR="00594C1B" w:rsidRPr="003F356C" w:rsidRDefault="003F356C">
      <w:pPr>
        <w:spacing w:after="80" w:line="245" w:lineRule="auto"/>
        <w:rPr>
          <w:rFonts w:asciiTheme="majorHAnsi" w:hAnsiTheme="majorHAnsi" w:cstheme="majorHAnsi"/>
        </w:rPr>
      </w:pPr>
      <w:r w:rsidRPr="003F356C">
        <w:rPr>
          <w:rFonts w:asciiTheme="majorHAnsi" w:hAnsiTheme="majorHAnsi" w:cstheme="majorHAnsi"/>
          <w:sz w:val="18"/>
        </w:rPr>
        <w:t>For the right candidates, these posts offer the opportunity to join a strong inclusion culture, work alongside expert colleagues and play a visible role in helping every pupil feel known, supported and able to succeed.</w:t>
      </w:r>
    </w:p>
    <w:p w:rsidR="00594C1B" w:rsidRPr="003F356C" w:rsidRDefault="003F356C">
      <w:pPr>
        <w:spacing w:before="80" w:after="80" w:line="245" w:lineRule="auto"/>
        <w:rPr>
          <w:rFonts w:asciiTheme="majorHAnsi" w:hAnsiTheme="majorHAnsi" w:cstheme="majorHAnsi"/>
        </w:rPr>
      </w:pPr>
      <w:r w:rsidRPr="003F356C">
        <w:rPr>
          <w:rFonts w:asciiTheme="majorHAnsi" w:hAnsiTheme="majorHAnsi" w:cstheme="majorHAnsi"/>
          <w:b/>
          <w:color w:val="2D5986"/>
          <w:sz w:val="24"/>
        </w:rPr>
        <w:t>What we are looking for</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A colleague who can build strong, respectful relationships with young people.</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Someone who understands how inclusion, wellbeing and learning are closely connected.</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A professional who can support pupils in lessons, interventions and targeted pastoral work.</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A team player who will work closely with the SENDCo, subject leaders and families.</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An adult who is calm, organised and able to help pupils regulate, participate and succeed.</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Someone who can combine compassion with consistency and high expectations.</w:t>
      </w:r>
    </w:p>
    <w:p w:rsidR="00594C1B" w:rsidRPr="003F356C" w:rsidRDefault="003F356C">
      <w:pPr>
        <w:spacing w:before="80" w:after="80" w:line="245" w:lineRule="auto"/>
        <w:rPr>
          <w:rFonts w:asciiTheme="majorHAnsi" w:hAnsiTheme="majorHAnsi" w:cstheme="majorHAnsi"/>
        </w:rPr>
      </w:pPr>
      <w:r w:rsidRPr="003F356C">
        <w:rPr>
          <w:rFonts w:asciiTheme="majorHAnsi" w:hAnsiTheme="majorHAnsi" w:cstheme="majorHAnsi"/>
          <w:b/>
          <w:color w:val="2D5986"/>
          <w:sz w:val="24"/>
        </w:rPr>
        <w:t>Why join Lordswood Boys' School and Central Academies Trust?</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A culture of high expectation, strong pastoral care and genuine teamwork.</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Professional development, coaching and career progression within Lordswood Boys' School and Central Academies Trust.</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The chance to shape work in a school that is confident, improving and ambitious for further growth.</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Trust-wide collaboration built around Every Student Matters, Quality Learning and Effective Partnerships.</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A staff benefits package including pension, employee discounts, transport support and Westfield Health / wellbeing provision.</w:t>
      </w:r>
    </w:p>
    <w:p w:rsidR="00594C1B" w:rsidRPr="003F356C" w:rsidRDefault="003F356C">
      <w:pPr>
        <w:spacing w:after="40"/>
        <w:ind w:left="216" w:hanging="216"/>
        <w:rPr>
          <w:rFonts w:asciiTheme="majorHAnsi" w:hAnsiTheme="majorHAnsi" w:cstheme="majorHAnsi"/>
        </w:rPr>
      </w:pPr>
      <w:r w:rsidRPr="003F356C">
        <w:rPr>
          <w:rFonts w:asciiTheme="majorHAnsi" w:hAnsiTheme="majorHAnsi" w:cstheme="majorHAnsi"/>
          <w:b/>
          <w:sz w:val="18"/>
        </w:rPr>
        <w:t xml:space="preserve">• </w:t>
      </w:r>
      <w:r w:rsidRPr="003F356C">
        <w:rPr>
          <w:rFonts w:asciiTheme="majorHAnsi" w:hAnsiTheme="majorHAnsi" w:cstheme="majorHAnsi"/>
          <w:sz w:val="18"/>
        </w:rPr>
        <w:t>The opportunity to work with determined young people and committed colleagues in a school that is proud of its community.</w:t>
      </w:r>
    </w:p>
    <w:p w:rsidR="00594C1B" w:rsidRPr="003F356C" w:rsidRDefault="003F356C" w:rsidP="003F356C">
      <w:pPr>
        <w:spacing w:before="40" w:after="160" w:line="245" w:lineRule="auto"/>
        <w:rPr>
          <w:rFonts w:asciiTheme="majorHAnsi" w:hAnsiTheme="majorHAnsi" w:cstheme="majorHAnsi"/>
        </w:rPr>
      </w:pPr>
      <w:r w:rsidRPr="003F356C">
        <w:rPr>
          <w:rFonts w:asciiTheme="majorHAnsi" w:hAnsiTheme="majorHAnsi" w:cstheme="majorHAnsi"/>
          <w:sz w:val="18"/>
        </w:rPr>
        <w:lastRenderedPageBreak/>
        <w:t>If you are excited by the opportunity to join a highly successful school community that is flourishing, ambitious and deeply committed to its people, we would love to hear from you. Visits to the school are warmly encouraged. Please contact Lee Williams, Executive Headteacher, email l.williams@centralacademiestrust.co.uk for further details or to arrange a visit.</w:t>
      </w:r>
    </w:p>
    <w:p w:rsidR="00594C1B" w:rsidRPr="003F356C" w:rsidRDefault="003F356C">
      <w:pPr>
        <w:spacing w:after="120" w:line="245" w:lineRule="auto"/>
        <w:rPr>
          <w:rFonts w:asciiTheme="majorHAnsi" w:hAnsiTheme="majorHAnsi" w:cstheme="majorHAnsi"/>
        </w:rPr>
      </w:pPr>
      <w:r w:rsidRPr="003F356C">
        <w:rPr>
          <w:rFonts w:asciiTheme="majorHAnsi" w:hAnsiTheme="majorHAnsi" w:cstheme="majorHAnsi"/>
          <w:b/>
          <w:color w:val="2D5986"/>
          <w:sz w:val="28"/>
        </w:rPr>
        <w:t>Lordswood Boys' School Recruitment Pack</w:t>
      </w:r>
    </w:p>
    <w:p w:rsidR="00594C1B" w:rsidRPr="003F356C" w:rsidRDefault="003F356C">
      <w:pPr>
        <w:spacing w:line="245" w:lineRule="auto"/>
        <w:rPr>
          <w:rFonts w:asciiTheme="majorHAnsi" w:hAnsiTheme="majorHAnsi" w:cstheme="majorHAnsi"/>
        </w:rPr>
      </w:pPr>
      <w:r w:rsidRPr="003F356C">
        <w:rPr>
          <w:rFonts w:asciiTheme="majorHAnsi" w:hAnsiTheme="majorHAnsi" w:cstheme="majorHAnsi"/>
          <w:i/>
          <w:color w:val="5A5A5A"/>
          <w:sz w:val="18"/>
        </w:rPr>
        <w:t>Lordswood Boys' School and Central Academies Trust are committed to safeguarding and promoting the welfare of children and young people. This post is subject to safer recruitment checks, including an enhanced DBS check and satisfactory references.</w:t>
      </w:r>
    </w:p>
    <w:p w:rsidR="00594C1B" w:rsidRPr="003F356C" w:rsidRDefault="003F356C">
      <w:pPr>
        <w:spacing w:after="120" w:line="245" w:lineRule="auto"/>
        <w:rPr>
          <w:rFonts w:asciiTheme="majorHAnsi" w:hAnsiTheme="majorHAnsi" w:cstheme="majorHAnsi"/>
        </w:rPr>
      </w:pPr>
      <w:r w:rsidRPr="003F356C">
        <w:rPr>
          <w:rFonts w:asciiTheme="majorHAnsi" w:hAnsiTheme="majorHAnsi" w:cstheme="majorHAnsi"/>
          <w:b/>
          <w:color w:val="2D5986"/>
          <w:sz w:val="24"/>
        </w:rPr>
        <w:t>Job specification</w:t>
      </w:r>
    </w:p>
    <w:tbl>
      <w:tblPr>
        <w:tblW w:w="0" w:type="auto"/>
        <w:tblLayout w:type="fixed"/>
        <w:tblLook w:val="04A0" w:firstRow="1" w:lastRow="0" w:firstColumn="1" w:lastColumn="0" w:noHBand="0" w:noVBand="1"/>
      </w:tblPr>
      <w:tblGrid>
        <w:gridCol w:w="5102"/>
        <w:gridCol w:w="5102"/>
      </w:tblGrid>
      <w:tr w:rsidR="00594C1B" w:rsidRPr="003F356C" w:rsidTr="003F356C">
        <w:tc>
          <w:tcPr>
            <w:tcW w:w="51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color w:val="2D5986"/>
                <w:sz w:val="18"/>
                <w:szCs w:val="18"/>
              </w:rPr>
              <w:t>Area</w:t>
            </w:r>
          </w:p>
        </w:tc>
        <w:tc>
          <w:tcPr>
            <w:tcW w:w="51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color w:val="2D5986"/>
                <w:sz w:val="18"/>
                <w:szCs w:val="18"/>
              </w:rPr>
              <w:t>Specification</w:t>
            </w:r>
          </w:p>
        </w:tc>
      </w:tr>
      <w:tr w:rsidR="00594C1B" w:rsidRPr="003F356C" w:rsidTr="003F356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Purpose of role</w:t>
            </w:r>
          </w:p>
        </w:t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To support pupils' learning, belonging and wellbeing so that they can participate successfully in school life and make strong academic and personal progress.</w:t>
            </w:r>
          </w:p>
        </w:tc>
      </w:tr>
      <w:tr w:rsidR="00594C1B" w:rsidRPr="003F356C" w:rsidTr="003F356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Learning support</w:t>
            </w:r>
          </w:p>
        </w:t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Work alongside teachers and subject leaders to help pupils access learning, engage positively in lessons and develop greater confidence and independence.</w:t>
            </w:r>
          </w:p>
        </w:tc>
      </w:tr>
      <w:tr w:rsidR="00594C1B" w:rsidRPr="003F356C" w:rsidTr="003F356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Wellbeing and inclusion</w:t>
            </w:r>
          </w:p>
        </w:t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Support pupils with regulation, routines, transitions and targeted wellbeing needs, helping to reduce barriers and strengthen belonging.</w:t>
            </w:r>
          </w:p>
        </w:tc>
      </w:tr>
      <w:tr w:rsidR="00594C1B" w:rsidRPr="003F356C" w:rsidTr="003F356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Intervention and pastoral contribution</w:t>
            </w:r>
          </w:p>
        </w:t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Contribute to small-group work, intervention, mentoring and agreed pastoral support in partnership with the SENDCo and wider staff.</w:t>
            </w:r>
          </w:p>
        </w:tc>
      </w:tr>
      <w:tr w:rsidR="00594C1B" w:rsidRPr="003F356C" w:rsidTr="003F356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Relationships and communication</w:t>
            </w:r>
          </w:p>
        </w:t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Build trusted relationships with pupils and communicate effectively with colleagues and, where appropriate, families and external professionals.</w:t>
            </w:r>
          </w:p>
        </w:tc>
      </w:tr>
      <w:tr w:rsidR="00594C1B" w:rsidRPr="003F356C" w:rsidTr="003F356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Standards and culture</w:t>
            </w:r>
          </w:p>
        </w:tc>
        <w:tc>
          <w:tcPr>
            <w:tcW w:w="51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Model calm, professional and consistent adult behaviour, supporting pupils to meet expectations for conduct, participation and self-belief.</w:t>
            </w:r>
          </w:p>
        </w:tc>
      </w:tr>
    </w:tbl>
    <w:p w:rsidR="00594C1B" w:rsidRPr="003F356C" w:rsidRDefault="003F356C">
      <w:pPr>
        <w:spacing w:before="160" w:after="120" w:line="245" w:lineRule="auto"/>
        <w:rPr>
          <w:rFonts w:asciiTheme="majorHAnsi" w:hAnsiTheme="majorHAnsi" w:cstheme="majorHAnsi"/>
        </w:rPr>
      </w:pPr>
      <w:r w:rsidRPr="003F356C">
        <w:rPr>
          <w:rFonts w:asciiTheme="majorHAnsi" w:hAnsiTheme="majorHAnsi" w:cstheme="majorHAnsi"/>
          <w:b/>
          <w:color w:val="2D5986"/>
          <w:sz w:val="24"/>
        </w:rPr>
        <w:t>Person specification</w:t>
      </w:r>
    </w:p>
    <w:tbl>
      <w:tblPr>
        <w:tblW w:w="10206" w:type="dxa"/>
        <w:tblLayout w:type="fixed"/>
        <w:tblLook w:val="04A0" w:firstRow="1" w:lastRow="0" w:firstColumn="1" w:lastColumn="0" w:noHBand="0" w:noVBand="1"/>
      </w:tblPr>
      <w:tblGrid>
        <w:gridCol w:w="3402"/>
        <w:gridCol w:w="3402"/>
        <w:gridCol w:w="3402"/>
      </w:tblGrid>
      <w:tr w:rsidR="00594C1B" w:rsidRPr="003F356C" w:rsidTr="003F356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color w:val="2D5986"/>
                <w:sz w:val="18"/>
                <w:szCs w:val="18"/>
              </w:rPr>
              <w:t>Area</w:t>
            </w:r>
          </w:p>
        </w:t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color w:val="2D5986"/>
                <w:sz w:val="18"/>
                <w:szCs w:val="18"/>
              </w:rPr>
              <w:t>Essential</w:t>
            </w:r>
          </w:p>
        </w:t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color w:val="2D5986"/>
                <w:sz w:val="18"/>
                <w:szCs w:val="18"/>
              </w:rPr>
              <w:t>Desirable</w:t>
            </w:r>
          </w:p>
        </w:tc>
      </w:tr>
      <w:tr w:rsidR="00594C1B" w:rsidRPr="003F356C" w:rsidTr="003F356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Qualifications</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Good standard of education, including English and Maths. Relevant training or experience in education, youth work, care, SEND or wellbeing support.</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Further professional development linked to SEND, SEMH, safeguarding, mentoring or therapeutic support.</w:t>
            </w:r>
          </w:p>
        </w:tc>
      </w:tr>
      <w:tr w:rsidR="00594C1B" w:rsidRPr="003F356C" w:rsidTr="003F356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Experience</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Experience of working successfully with children or young people in a school or comparable setting.</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Experience of supporting pupils with SEND, SEMH, EAL or wider inclusion needs.</w:t>
            </w:r>
          </w:p>
        </w:tc>
      </w:tr>
      <w:tr w:rsidR="00594C1B" w:rsidRPr="003F356C" w:rsidTr="003F356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Knowledge</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Understanding of the connection between inclusion, wellbeing, relationships and learning.</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Knowledge of SEND processes, intervention approaches or trauma-informed / restorative practice.</w:t>
            </w:r>
          </w:p>
        </w:tc>
      </w:tr>
      <w:tr w:rsidR="00594C1B" w:rsidRPr="003F356C" w:rsidTr="003F356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Skills</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Strong communication, patience, organisation and the ability to support pupils with calm consistency.</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Ability to contribute to targeted intervention, mentoring or specialised inclusion support.</w:t>
            </w:r>
          </w:p>
        </w:tc>
      </w:tr>
      <w:tr w:rsidR="00594C1B" w:rsidRPr="003F356C" w:rsidTr="003F356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b/>
                <w:sz w:val="18"/>
                <w:szCs w:val="18"/>
              </w:rPr>
              <w:t>Personal qualities</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Warm, dependable, reflective and fully aligned with the school's commitment to high expectations and strong support.</w:t>
            </w:r>
          </w:p>
        </w:tc>
        <w:tc>
          <w:tcPr>
            <w:tcW w:w="3402" w:type="dxa"/>
            <w:tcBorders>
              <w:top w:val="single" w:sz="8" w:space="0" w:color="B8C7D9"/>
              <w:left w:val="single" w:sz="8" w:space="0" w:color="B8C7D9"/>
              <w:bottom w:val="single" w:sz="8" w:space="0" w:color="B8C7D9"/>
              <w:right w:val="single" w:sz="8" w:space="0" w:color="B8C7D9"/>
            </w:tcBorders>
            <w:vAlign w:val="center"/>
          </w:tcPr>
          <w:p w:rsidR="00594C1B" w:rsidRPr="003F356C" w:rsidRDefault="003F356C">
            <w:pPr>
              <w:spacing w:after="0" w:line="240" w:lineRule="auto"/>
              <w:rPr>
                <w:rFonts w:asciiTheme="majorHAnsi" w:hAnsiTheme="majorHAnsi" w:cstheme="majorHAnsi"/>
                <w:sz w:val="18"/>
                <w:szCs w:val="18"/>
              </w:rPr>
            </w:pPr>
            <w:r w:rsidRPr="003F356C">
              <w:rPr>
                <w:rFonts w:asciiTheme="majorHAnsi" w:hAnsiTheme="majorHAnsi" w:cstheme="majorHAnsi"/>
                <w:sz w:val="18"/>
                <w:szCs w:val="18"/>
              </w:rPr>
              <w:t>A desire to develop further within inclusion, pastoral or specialist pupil support work.</w:t>
            </w:r>
          </w:p>
        </w:tc>
      </w:tr>
    </w:tbl>
    <w:p w:rsidR="00702F6C" w:rsidRPr="003F356C" w:rsidRDefault="00702F6C">
      <w:pPr>
        <w:rPr>
          <w:rFonts w:asciiTheme="majorHAnsi" w:hAnsiTheme="majorHAnsi" w:cstheme="majorHAnsi"/>
        </w:rPr>
      </w:pPr>
    </w:p>
    <w:sectPr w:rsidR="00702F6C" w:rsidRPr="003F356C" w:rsidSect="00034616">
      <w:footerReference w:type="default" r:id="rId8"/>
      <w:pgSz w:w="12240" w:h="15840"/>
      <w:pgMar w:top="763" w:right="936" w:bottom="878"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F6C" w:rsidRDefault="003F356C">
      <w:pPr>
        <w:spacing w:after="0" w:line="240" w:lineRule="auto"/>
      </w:pPr>
      <w:r>
        <w:separator/>
      </w:r>
    </w:p>
  </w:endnote>
  <w:endnote w:type="continuationSeparator" w:id="0">
    <w:p w:rsidR="00702F6C" w:rsidRDefault="003F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1B" w:rsidRPr="003F356C" w:rsidRDefault="003F356C">
    <w:pPr>
      <w:pStyle w:val="Footer"/>
      <w:jc w:val="center"/>
      <w:rPr>
        <w:rFonts w:asciiTheme="majorHAnsi" w:hAnsiTheme="majorHAnsi" w:cstheme="majorHAnsi"/>
      </w:rPr>
    </w:pPr>
    <w:r w:rsidRPr="003F356C">
      <w:rPr>
        <w:rFonts w:asciiTheme="majorHAnsi" w:hAnsiTheme="majorHAnsi" w:cstheme="majorHAnsi"/>
        <w:color w:val="5A5A5A"/>
        <w:sz w:val="18"/>
      </w:rPr>
      <w:t>Lordswood Boys' School | Central Academies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F6C" w:rsidRDefault="003F356C">
      <w:pPr>
        <w:spacing w:after="0" w:line="240" w:lineRule="auto"/>
      </w:pPr>
      <w:r>
        <w:separator/>
      </w:r>
    </w:p>
  </w:footnote>
  <w:footnote w:type="continuationSeparator" w:id="0">
    <w:p w:rsidR="00702F6C" w:rsidRDefault="003F3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6270"/>
    <w:rsid w:val="003F356C"/>
    <w:rsid w:val="00594C1B"/>
    <w:rsid w:val="00702F6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C723C"/>
  <w14:defaultImageDpi w14:val="300"/>
  <w15:docId w15:val="{BAB9DF57-5A6E-4E2A-B612-03D0A639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BD98-827D-424A-82EE-C88FB5A3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2013-12-23T23:15:00Z</dcterms:created>
  <dcterms:modified xsi:type="dcterms:W3CDTF">2026-07-01T12:33:00Z</dcterms:modified>
  <cp:category/>
</cp:coreProperties>
</file>