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4F4CFF" w:rsidRDefault="001C665F"/>
    <w:p w14:paraId="36DC0772" w14:textId="77777777" w:rsidR="00D04546" w:rsidRDefault="00D04546" w:rsidP="00D04546">
      <w:pPr>
        <w:spacing w:after="0"/>
        <w:rPr>
          <w:b/>
        </w:rPr>
      </w:pPr>
    </w:p>
    <w:p w14:paraId="71D88F94" w14:textId="0C3A47C5" w:rsidR="00D04546" w:rsidRDefault="00D04546" w:rsidP="00D04546">
      <w:pPr>
        <w:spacing w:after="0"/>
        <w:jc w:val="center"/>
        <w:rPr>
          <w:b/>
        </w:rPr>
      </w:pPr>
      <w:r w:rsidRPr="00BE0E74">
        <w:rPr>
          <w:b/>
        </w:rPr>
        <w:t>Apprentice I</w:t>
      </w:r>
      <w:r>
        <w:rPr>
          <w:b/>
        </w:rPr>
        <w:t>C</w:t>
      </w:r>
      <w:r w:rsidRPr="00BE0E74">
        <w:rPr>
          <w:b/>
        </w:rPr>
        <w:t xml:space="preserve">T Technician </w:t>
      </w:r>
      <w:r w:rsidRPr="00117210">
        <w:rPr>
          <w:b/>
        </w:rPr>
        <w:t>– Level 3 Apprenticeship</w:t>
      </w:r>
    </w:p>
    <w:p w14:paraId="34D85341" w14:textId="77777777" w:rsidR="00D04546" w:rsidRPr="00BE0E74" w:rsidRDefault="00D04546" w:rsidP="00104C31">
      <w:pPr>
        <w:pStyle w:val="NoSpacing"/>
      </w:pPr>
    </w:p>
    <w:p w14:paraId="1C091DF9" w14:textId="77777777" w:rsidR="00D04546" w:rsidRPr="00BE0E74" w:rsidRDefault="00D04546" w:rsidP="00D04546">
      <w:pPr>
        <w:spacing w:after="0"/>
        <w:rPr>
          <w:b/>
        </w:rPr>
      </w:pPr>
      <w:r w:rsidRPr="00BE0E74">
        <w:rPr>
          <w:b/>
        </w:rPr>
        <w:t xml:space="preserve">Salary: </w:t>
      </w:r>
      <w:r w:rsidRPr="00BE0E74">
        <w:rPr>
          <w:b/>
        </w:rPr>
        <w:tab/>
      </w:r>
      <w:r w:rsidRPr="00BE0E74">
        <w:rPr>
          <w:b/>
        </w:rPr>
        <w:tab/>
      </w:r>
      <w:r>
        <w:rPr>
          <w:b/>
        </w:rPr>
        <w:tab/>
      </w:r>
      <w:r w:rsidRPr="00BE0E74">
        <w:rPr>
          <w:b/>
        </w:rPr>
        <w:t xml:space="preserve">National Minimum Wage and National Living Wage rates apply    </w:t>
      </w:r>
    </w:p>
    <w:p w14:paraId="24CFA104" w14:textId="77777777" w:rsidR="00D04546" w:rsidRDefault="00D04546" w:rsidP="00D04546">
      <w:pPr>
        <w:spacing w:after="0"/>
        <w:rPr>
          <w:b/>
        </w:rPr>
      </w:pPr>
      <w:r w:rsidRPr="00BE0E74">
        <w:rPr>
          <w:b/>
        </w:rPr>
        <w:t xml:space="preserve">Start: </w:t>
      </w:r>
      <w:r w:rsidRPr="00BE0E74">
        <w:rPr>
          <w:b/>
        </w:rPr>
        <w:tab/>
      </w:r>
      <w:r w:rsidRPr="00BE0E74">
        <w:rPr>
          <w:b/>
        </w:rPr>
        <w:tab/>
      </w:r>
      <w:r>
        <w:rPr>
          <w:b/>
        </w:rPr>
        <w:tab/>
      </w:r>
      <w:r w:rsidRPr="00BE0E74">
        <w:rPr>
          <w:b/>
        </w:rPr>
        <w:t xml:space="preserve">ASAP </w:t>
      </w:r>
    </w:p>
    <w:p w14:paraId="4C60DBD6" w14:textId="77300AFA" w:rsidR="00D04546" w:rsidRPr="00BE0E74" w:rsidRDefault="00D04546" w:rsidP="00D04546">
      <w:pPr>
        <w:spacing w:after="0"/>
        <w:rPr>
          <w:b/>
        </w:rPr>
      </w:pPr>
      <w:r>
        <w:rPr>
          <w:b/>
        </w:rPr>
        <w:t>Hours:</w:t>
      </w:r>
      <w:r>
        <w:rPr>
          <w:b/>
        </w:rPr>
        <w:tab/>
      </w:r>
      <w:r>
        <w:rPr>
          <w:b/>
        </w:rPr>
        <w:tab/>
      </w:r>
      <w:r>
        <w:rPr>
          <w:b/>
        </w:rPr>
        <w:tab/>
      </w:r>
      <w:r w:rsidR="00AD67C5">
        <w:rPr>
          <w:b/>
        </w:rPr>
        <w:t>Full time, all year -</w:t>
      </w:r>
      <w:r w:rsidR="00761A63">
        <w:rPr>
          <w:b/>
        </w:rPr>
        <w:t xml:space="preserve"> </w:t>
      </w:r>
      <w:r>
        <w:rPr>
          <w:b/>
        </w:rPr>
        <w:t>37 hours a week, 8.00am – 4.00pm Monday to Friday</w:t>
      </w:r>
    </w:p>
    <w:p w14:paraId="3ADE8239" w14:textId="77777777" w:rsidR="00D04546" w:rsidRDefault="00D04546" w:rsidP="00D04546">
      <w:pPr>
        <w:spacing w:after="0"/>
        <w:rPr>
          <w:b/>
        </w:rPr>
      </w:pPr>
      <w:r w:rsidRPr="00BE0E74">
        <w:rPr>
          <w:b/>
        </w:rPr>
        <w:t xml:space="preserve">Contract Type: </w:t>
      </w:r>
      <w:r w:rsidRPr="00BE0E74">
        <w:rPr>
          <w:b/>
        </w:rPr>
        <w:tab/>
      </w:r>
      <w:r>
        <w:rPr>
          <w:b/>
        </w:rPr>
        <w:tab/>
      </w:r>
      <w:r w:rsidRPr="00BE0E74">
        <w:rPr>
          <w:b/>
        </w:rPr>
        <w:t xml:space="preserve">Apprenticeship 18-21 months </w:t>
      </w:r>
    </w:p>
    <w:p w14:paraId="0536AA9D" w14:textId="77777777" w:rsidR="00D04546" w:rsidRPr="00BE0E74" w:rsidRDefault="00D04546" w:rsidP="00D04546">
      <w:pPr>
        <w:spacing w:after="0"/>
        <w:rPr>
          <w:b/>
        </w:rPr>
      </w:pPr>
    </w:p>
    <w:p w14:paraId="1D3BFDB6" w14:textId="77777777" w:rsidR="00D04546" w:rsidRDefault="00D04546" w:rsidP="00D04546">
      <w:pPr>
        <w:pStyle w:val="NoSpacing"/>
      </w:pPr>
    </w:p>
    <w:p w14:paraId="2180FD32" w14:textId="31E361FC" w:rsidR="00D04546" w:rsidRDefault="00F43AAD" w:rsidP="00D04546">
      <w:pPr>
        <w:pStyle w:val="NoSpacing"/>
      </w:pPr>
      <w:r>
        <w:t>Tottington High School</w:t>
      </w:r>
      <w:r w:rsidR="00D04546">
        <w:t xml:space="preserve"> </w:t>
      </w:r>
      <w:r w:rsidR="00D04546" w:rsidRPr="00684162">
        <w:t xml:space="preserve">are currently seeking to </w:t>
      </w:r>
      <w:r w:rsidR="00D04546">
        <w:t xml:space="preserve">appoint an Apprentice </w:t>
      </w:r>
      <w:r w:rsidR="00D04546" w:rsidRPr="00684162">
        <w:t>ICT Technician</w:t>
      </w:r>
      <w:r w:rsidR="00D04546">
        <w:t xml:space="preserve"> who is </w:t>
      </w:r>
      <w:r w:rsidR="00D04546" w:rsidRPr="00684162">
        <w:t>self-motivated</w:t>
      </w:r>
      <w:r w:rsidR="00D04546">
        <w:t xml:space="preserve"> and an </w:t>
      </w:r>
      <w:r w:rsidR="00D04546" w:rsidRPr="00684162">
        <w:t>organised individual</w:t>
      </w:r>
      <w:r w:rsidR="00D04546">
        <w:t xml:space="preserve"> who </w:t>
      </w:r>
      <w:r w:rsidR="00D04546" w:rsidRPr="00684162">
        <w:t>will have a</w:t>
      </w:r>
      <w:r w:rsidR="00D04546">
        <w:t xml:space="preserve"> strong </w:t>
      </w:r>
      <w:r w:rsidR="00D04546" w:rsidRPr="00684162">
        <w:t>work ethic working alongside</w:t>
      </w:r>
      <w:r w:rsidR="00D04546">
        <w:t xml:space="preserve"> a passion for IT as t</w:t>
      </w:r>
      <w:r w:rsidR="00D04546" w:rsidRPr="00684162">
        <w:t>his role provides an excellent opportunity for the right candidate to develop their IT knowledge and their career</w:t>
      </w:r>
      <w:r w:rsidR="00D04546">
        <w:t>.</w:t>
      </w:r>
    </w:p>
    <w:p w14:paraId="6C7E24FA" w14:textId="77777777" w:rsidR="00D04546" w:rsidRDefault="00D04546" w:rsidP="00D04546">
      <w:pPr>
        <w:autoSpaceDE w:val="0"/>
        <w:autoSpaceDN w:val="0"/>
        <w:adjustRightInd w:val="0"/>
        <w:spacing w:after="0" w:line="240" w:lineRule="auto"/>
        <w:contextualSpacing/>
        <w:rPr>
          <w:rFonts w:cstheme="minorHAnsi"/>
        </w:rPr>
      </w:pPr>
    </w:p>
    <w:p w14:paraId="3E5D8567" w14:textId="77777777" w:rsidR="00D04546" w:rsidRPr="005A7A8B" w:rsidRDefault="00D04546" w:rsidP="00D04546">
      <w:pPr>
        <w:autoSpaceDE w:val="0"/>
        <w:autoSpaceDN w:val="0"/>
        <w:adjustRightInd w:val="0"/>
        <w:spacing w:after="0" w:line="240" w:lineRule="auto"/>
        <w:contextualSpacing/>
        <w:rPr>
          <w:rFonts w:cstheme="minorHAnsi"/>
          <w:b/>
          <w:bCs/>
        </w:rPr>
      </w:pPr>
      <w:r w:rsidRPr="005A7A8B">
        <w:rPr>
          <w:rFonts w:cstheme="minorHAnsi"/>
          <w:b/>
          <w:bCs/>
        </w:rPr>
        <w:t>The ideal applicant will have/be:</w:t>
      </w:r>
    </w:p>
    <w:p w14:paraId="24D3A08E" w14:textId="77777777" w:rsidR="00D04546" w:rsidRPr="00231952" w:rsidRDefault="00D04546" w:rsidP="00D04546">
      <w:pPr>
        <w:pStyle w:val="NoSpacing"/>
        <w:numPr>
          <w:ilvl w:val="0"/>
          <w:numId w:val="7"/>
        </w:numPr>
      </w:pPr>
      <w:r w:rsidRPr="00231952">
        <w:t>Good communication skills, with the ability to interact effectively with staff and members of the school community.</w:t>
      </w:r>
    </w:p>
    <w:p w14:paraId="65C31CC8" w14:textId="77777777" w:rsidR="00D04546" w:rsidRPr="00231952" w:rsidRDefault="00D04546" w:rsidP="00D04546">
      <w:pPr>
        <w:pStyle w:val="NoSpacing"/>
        <w:numPr>
          <w:ilvl w:val="0"/>
          <w:numId w:val="7"/>
        </w:numPr>
      </w:pPr>
      <w:r w:rsidRPr="00231952">
        <w:t>Team player with the ability to manage their time efficiently and prioritise technical issues to ensure a prompt closure.</w:t>
      </w:r>
    </w:p>
    <w:p w14:paraId="09342383" w14:textId="77777777" w:rsidR="00D04546" w:rsidRPr="00231952" w:rsidRDefault="00D04546" w:rsidP="00D04546">
      <w:pPr>
        <w:pStyle w:val="NoSpacing"/>
        <w:numPr>
          <w:ilvl w:val="0"/>
          <w:numId w:val="7"/>
        </w:numPr>
      </w:pPr>
      <w:r w:rsidRPr="00231952">
        <w:t>Flexible approach and ability to work well on their own initiative.</w:t>
      </w:r>
    </w:p>
    <w:p w14:paraId="30431FEC" w14:textId="77777777" w:rsidR="00D04546" w:rsidRPr="00231952" w:rsidRDefault="00D04546" w:rsidP="00D04546">
      <w:pPr>
        <w:pStyle w:val="NoSpacing"/>
        <w:numPr>
          <w:ilvl w:val="0"/>
          <w:numId w:val="7"/>
        </w:numPr>
      </w:pPr>
      <w:r w:rsidRPr="00231952">
        <w:t>Minimum 5 Grades A-C GCSE or equivalent inclusive of Maths and English.</w:t>
      </w:r>
    </w:p>
    <w:p w14:paraId="1A2C7794" w14:textId="77777777" w:rsidR="00D04546" w:rsidRPr="00231952" w:rsidRDefault="00D04546" w:rsidP="00D04546">
      <w:pPr>
        <w:pStyle w:val="NoSpacing"/>
        <w:numPr>
          <w:ilvl w:val="0"/>
          <w:numId w:val="7"/>
        </w:numPr>
      </w:pPr>
      <w:r w:rsidRPr="00231952">
        <w:t>Keen interest in IT and keeping abreast of latest developments in technology.</w:t>
      </w:r>
    </w:p>
    <w:p w14:paraId="36F43040" w14:textId="77777777" w:rsidR="00D04546" w:rsidRPr="00231952" w:rsidRDefault="00D04546" w:rsidP="00D04546">
      <w:pPr>
        <w:pStyle w:val="NoSpacing"/>
        <w:numPr>
          <w:ilvl w:val="0"/>
          <w:numId w:val="7"/>
        </w:numPr>
      </w:pPr>
      <w:r w:rsidRPr="00231952">
        <w:t>Good knowledge of Microsoft Products, IT Hardware and software.</w:t>
      </w:r>
    </w:p>
    <w:p w14:paraId="50EBC5AA" w14:textId="77777777" w:rsidR="00D04546" w:rsidRPr="00231952" w:rsidRDefault="00D04546" w:rsidP="00D04546">
      <w:pPr>
        <w:pStyle w:val="NoSpacing"/>
        <w:numPr>
          <w:ilvl w:val="0"/>
          <w:numId w:val="7"/>
        </w:numPr>
      </w:pPr>
      <w:r w:rsidRPr="00231952">
        <w:t>Ability to learn quickly and apply that learning in the workplace.</w:t>
      </w:r>
    </w:p>
    <w:p w14:paraId="000AF05D" w14:textId="77777777" w:rsidR="00D04546" w:rsidRPr="00231952" w:rsidRDefault="00D04546" w:rsidP="00D04546">
      <w:pPr>
        <w:pStyle w:val="NoSpacing"/>
        <w:numPr>
          <w:ilvl w:val="0"/>
          <w:numId w:val="7"/>
        </w:numPr>
      </w:pPr>
      <w:r w:rsidRPr="00231952">
        <w:t>Willingness to work flexibly, encompassing both academic &amp; work environments.</w:t>
      </w:r>
    </w:p>
    <w:p w14:paraId="3EB3DEF3" w14:textId="77777777" w:rsidR="00D04546" w:rsidRPr="00104C31" w:rsidRDefault="00D04546" w:rsidP="00104C31">
      <w:pPr>
        <w:pStyle w:val="NoSpacing"/>
      </w:pPr>
    </w:p>
    <w:p w14:paraId="157CEED7" w14:textId="77777777" w:rsidR="00D04546" w:rsidRDefault="00D04546" w:rsidP="00D04546">
      <w:pPr>
        <w:tabs>
          <w:tab w:val="left" w:pos="7560"/>
        </w:tabs>
        <w:rPr>
          <w:rFonts w:cstheme="minorHAnsi"/>
          <w:b/>
          <w:bCs/>
        </w:rPr>
      </w:pPr>
      <w:r w:rsidRPr="0014749F">
        <w:rPr>
          <w:rFonts w:cstheme="minorHAnsi"/>
          <w:b/>
          <w:bCs/>
        </w:rPr>
        <w:t>Please see job description and person specification.</w:t>
      </w:r>
    </w:p>
    <w:p w14:paraId="56844DAF" w14:textId="77777777" w:rsidR="00104C31" w:rsidRPr="005A0FCF" w:rsidRDefault="00104C31" w:rsidP="00104C31">
      <w:pPr>
        <w:pStyle w:val="NoSpacing"/>
      </w:pPr>
    </w:p>
    <w:p w14:paraId="6B59397C" w14:textId="48CF2A3E" w:rsidR="00FC08F8" w:rsidRDefault="004B1316" w:rsidP="00616306">
      <w:pPr>
        <w:tabs>
          <w:tab w:val="left" w:pos="2916"/>
        </w:tabs>
        <w:rPr>
          <w:b/>
          <w:bCs/>
          <w:color w:val="4472C4" w:themeColor="accent1"/>
        </w:rPr>
      </w:pPr>
      <w: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02FD8C5" w14:textId="77777777" w:rsidR="00847C79" w:rsidRPr="00616306" w:rsidRDefault="00847C79" w:rsidP="00847C79">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169BB40B" w14:textId="77777777" w:rsidR="00847C79" w:rsidRDefault="00847C79" w:rsidP="00847C79">
      <w:pPr>
        <w:pStyle w:val="NoSpacing"/>
      </w:pPr>
    </w:p>
    <w:p w14:paraId="6E56BF7E" w14:textId="77777777" w:rsidR="00847C79" w:rsidRDefault="00847C79" w:rsidP="00847C79">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6E94124" w14:textId="77777777" w:rsidR="00104C31" w:rsidRDefault="00847C79" w:rsidP="006141BA">
      <w:r>
        <w:lastRenderedPageBreak/>
        <w:br/>
      </w:r>
    </w:p>
    <w:p w14:paraId="3CD1F41F" w14:textId="23F14E64" w:rsidR="00847C79" w:rsidRPr="00104C31" w:rsidRDefault="00847C79" w:rsidP="006141BA">
      <w:r w:rsidRPr="00847C79">
        <w:t xml:space="preserve">Please visit our Careers Site for more information on Tottington High School on </w:t>
      </w:r>
      <w:hyperlink r:id="rId10" w:history="1">
        <w:r w:rsidRPr="00847C79">
          <w:rPr>
            <w:color w:val="0000FF"/>
            <w:u w:val="single"/>
          </w:rPr>
          <w:t>Tottington High School Career Site (schoolrecruiter.com)</w:t>
        </w:r>
      </w:hyperlink>
    </w:p>
    <w:p w14:paraId="6E3653EC" w14:textId="694FD937" w:rsidR="00847C79" w:rsidRPr="00847C79" w:rsidRDefault="00847C79" w:rsidP="00104C31">
      <w:pPr>
        <w:pStyle w:val="NoSpacing"/>
      </w:pPr>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Pr="00847C79" w:rsidRDefault="00847C79" w:rsidP="006141BA">
      <w:r w:rsidRPr="00847C79">
        <w:t xml:space="preserve">Or click on the QR Code to see all vacancies with Tottington High School. </w:t>
      </w:r>
    </w:p>
    <w:p w14:paraId="465352DD" w14:textId="57563825"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7488DC73" w:rsidR="006141BA" w:rsidRDefault="006141BA" w:rsidP="0090533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88190F8" w14:textId="77777777" w:rsidR="00856E68" w:rsidRDefault="00856E68" w:rsidP="00847C79">
      <w:pPr>
        <w:spacing w:after="0" w:line="240" w:lineRule="auto"/>
        <w:rPr>
          <w:rFonts w:eastAsia="Times New Roman"/>
        </w:rPr>
      </w:pPr>
    </w:p>
    <w:p w14:paraId="522F3E10" w14:textId="77777777" w:rsidR="00856E68" w:rsidRDefault="00856E68" w:rsidP="00856E68">
      <w:pPr>
        <w:rPr>
          <w:rFonts w:cstheme="minorHAnsi"/>
          <w:b/>
          <w:bCs/>
        </w:rPr>
      </w:pPr>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p>
    <w:p w14:paraId="2559ACC9" w14:textId="77777777" w:rsidR="00856E68" w:rsidRDefault="00856E68" w:rsidP="006141BA">
      <w:pPr>
        <w:pStyle w:val="xmsonormal"/>
        <w:rPr>
          <w:b/>
          <w:bCs/>
          <w:color w:val="000000" w:themeColor="text1"/>
        </w:rPr>
      </w:pPr>
    </w:p>
    <w:p w14:paraId="7CABD341" w14:textId="537407BD"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0AB916D3"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19630755"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5D9DA997" w:rsidR="008E4C35" w:rsidRDefault="008E4C35" w:rsidP="006141BA">
      <w:pPr>
        <w:pStyle w:val="xmsonormal"/>
      </w:pPr>
    </w:p>
    <w:p w14:paraId="5DCD4F4C" w14:textId="170BD363" w:rsidR="006141BA" w:rsidRPr="00835CED" w:rsidRDefault="006141BA" w:rsidP="00835CED">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0659B9A2" w:rsidR="006141BA" w:rsidRPr="004F4CFF" w:rsidRDefault="006141BA" w:rsidP="006141BA">
      <w:pPr>
        <w:pStyle w:val="xmsonormal"/>
      </w:pPr>
      <w:r w:rsidRPr="004F4CFF">
        <w:rPr>
          <w:b/>
          <w:bCs/>
        </w:rPr>
        <w:t>In accordance with our safer recruitment policy CV’s alone will not be accepted.</w:t>
      </w:r>
    </w:p>
    <w:p w14:paraId="39F5959E" w14:textId="071112F4" w:rsidR="006141BA" w:rsidRPr="004F4CFF" w:rsidRDefault="006141BA" w:rsidP="006141BA">
      <w:pPr>
        <w:pStyle w:val="xmsonormal"/>
      </w:pPr>
      <w:r w:rsidRPr="004F4CFF">
        <w:t> </w:t>
      </w:r>
    </w:p>
    <w:p w14:paraId="5EA8444C" w14:textId="6C37A2AF" w:rsidR="006141BA" w:rsidRPr="004F4CFF" w:rsidRDefault="006141BA" w:rsidP="006141BA">
      <w:pPr>
        <w:pStyle w:val="xmsonormal"/>
      </w:pPr>
      <w:r w:rsidRPr="004F4CFF">
        <w:rPr>
          <w:b/>
          <w:bCs/>
        </w:rPr>
        <w:t>Application deadline: </w:t>
      </w:r>
      <w:r w:rsidR="00AB55C3">
        <w:rPr>
          <w:b/>
          <w:bCs/>
        </w:rPr>
        <w:tab/>
        <w:t xml:space="preserve">9.00am </w:t>
      </w:r>
      <w:r w:rsidR="00014094">
        <w:rPr>
          <w:b/>
          <w:bCs/>
        </w:rPr>
        <w:t xml:space="preserve">Friday </w:t>
      </w:r>
      <w:r w:rsidR="00AB55C3">
        <w:rPr>
          <w:b/>
          <w:bCs/>
        </w:rPr>
        <w:t>17</w:t>
      </w:r>
      <w:r w:rsidR="00AB55C3" w:rsidRPr="00AB55C3">
        <w:rPr>
          <w:b/>
          <w:bCs/>
          <w:vertAlign w:val="superscript"/>
        </w:rPr>
        <w:t>th</w:t>
      </w:r>
      <w:r w:rsidR="00AB55C3">
        <w:rPr>
          <w:b/>
          <w:bCs/>
        </w:rPr>
        <w:t xml:space="preserve"> </w:t>
      </w:r>
      <w:r w:rsidR="00DE0969">
        <w:rPr>
          <w:b/>
          <w:bCs/>
        </w:rPr>
        <w:t>May 2024</w:t>
      </w:r>
      <w:r w:rsidRPr="004F4CFF">
        <w:rPr>
          <w:b/>
          <w:bCs/>
        </w:rPr>
        <w:t xml:space="preserve">    </w:t>
      </w:r>
    </w:p>
    <w:p w14:paraId="7850FF3B" w14:textId="38584D57" w:rsidR="006141BA" w:rsidRPr="004F4CFF" w:rsidRDefault="006141BA" w:rsidP="006141BA">
      <w:pPr>
        <w:pStyle w:val="xmsonormal"/>
      </w:pPr>
      <w:r w:rsidRPr="004F4CFF">
        <w:rPr>
          <w:b/>
          <w:bCs/>
        </w:rPr>
        <w:t xml:space="preserve">Interview date: </w:t>
      </w:r>
      <w:r w:rsidR="00DE0969">
        <w:rPr>
          <w:b/>
          <w:bCs/>
        </w:rPr>
        <w:tab/>
        <w:t>TBC</w:t>
      </w:r>
      <w:r w:rsidR="00DA5100" w:rsidRPr="004F4CFF">
        <w:rPr>
          <w:b/>
          <w:bCs/>
        </w:rPr>
        <w:tab/>
      </w:r>
    </w:p>
    <w:p w14:paraId="565C82A7" w14:textId="77777777" w:rsidR="006141BA" w:rsidRPr="004F4CFF" w:rsidRDefault="006141BA" w:rsidP="006141BA">
      <w:pPr>
        <w:pStyle w:val="xmsonormal"/>
      </w:pPr>
      <w:r w:rsidRPr="004F4CFF">
        <w:rPr>
          <w:b/>
          <w:bCs/>
        </w:rPr>
        <w:t> </w:t>
      </w:r>
    </w:p>
    <w:p w14:paraId="310C2FE6" w14:textId="69C84E47" w:rsidR="006141BA" w:rsidRDefault="00835CED" w:rsidP="006141BA">
      <w:pPr>
        <w:pStyle w:val="xmsonospacing"/>
        <w:jc w:val="both"/>
      </w:pPr>
      <w:r w:rsidRPr="00835CED">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r w:rsidR="006141BA">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3E6C49">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6C5E" w14:textId="77777777" w:rsidR="003E6C49" w:rsidRDefault="003E6C49" w:rsidP="006141BA">
      <w:pPr>
        <w:spacing w:after="0" w:line="240" w:lineRule="auto"/>
      </w:pPr>
      <w:r>
        <w:separator/>
      </w:r>
    </w:p>
  </w:endnote>
  <w:endnote w:type="continuationSeparator" w:id="0">
    <w:p w14:paraId="745C3153" w14:textId="77777777" w:rsidR="003E6C49" w:rsidRDefault="003E6C4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7EE2" w14:textId="77777777" w:rsidR="003E6C49" w:rsidRDefault="003E6C49" w:rsidP="006141BA">
      <w:pPr>
        <w:spacing w:after="0" w:line="240" w:lineRule="auto"/>
      </w:pPr>
      <w:r>
        <w:separator/>
      </w:r>
    </w:p>
  </w:footnote>
  <w:footnote w:type="continuationSeparator" w:id="0">
    <w:p w14:paraId="4E6E8C11" w14:textId="77777777" w:rsidR="003E6C49" w:rsidRDefault="003E6C4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70EC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69F4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E90BCD"/>
    <w:multiLevelType w:val="hybridMultilevel"/>
    <w:tmpl w:val="DAF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393230083">
    <w:abstractNumId w:val="6"/>
  </w:num>
  <w:num w:numId="7" w16cid:durableId="197867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094"/>
    <w:rsid w:val="00070481"/>
    <w:rsid w:val="00094E15"/>
    <w:rsid w:val="000C7D22"/>
    <w:rsid w:val="00104C31"/>
    <w:rsid w:val="0019507E"/>
    <w:rsid w:val="001C665F"/>
    <w:rsid w:val="001F0194"/>
    <w:rsid w:val="002237B5"/>
    <w:rsid w:val="002E372F"/>
    <w:rsid w:val="002E4EDE"/>
    <w:rsid w:val="00301FEB"/>
    <w:rsid w:val="00345D1C"/>
    <w:rsid w:val="00354290"/>
    <w:rsid w:val="003E6C49"/>
    <w:rsid w:val="004B1316"/>
    <w:rsid w:val="004C36A6"/>
    <w:rsid w:val="004F4CFF"/>
    <w:rsid w:val="004F67E4"/>
    <w:rsid w:val="004F6F3C"/>
    <w:rsid w:val="005674B7"/>
    <w:rsid w:val="005B550C"/>
    <w:rsid w:val="005F51E7"/>
    <w:rsid w:val="006141BA"/>
    <w:rsid w:val="0061506D"/>
    <w:rsid w:val="00616306"/>
    <w:rsid w:val="00635F5B"/>
    <w:rsid w:val="006B4A02"/>
    <w:rsid w:val="007609B1"/>
    <w:rsid w:val="00761A63"/>
    <w:rsid w:val="00795CD5"/>
    <w:rsid w:val="00820CFA"/>
    <w:rsid w:val="00835CED"/>
    <w:rsid w:val="00847C79"/>
    <w:rsid w:val="00856E68"/>
    <w:rsid w:val="00893B49"/>
    <w:rsid w:val="008E4C35"/>
    <w:rsid w:val="0090533D"/>
    <w:rsid w:val="00922DC1"/>
    <w:rsid w:val="009C79AA"/>
    <w:rsid w:val="00AA2D2D"/>
    <w:rsid w:val="00AB55C3"/>
    <w:rsid w:val="00AD67C5"/>
    <w:rsid w:val="00B54BCE"/>
    <w:rsid w:val="00B76816"/>
    <w:rsid w:val="00B86804"/>
    <w:rsid w:val="00BF327B"/>
    <w:rsid w:val="00C16151"/>
    <w:rsid w:val="00C1624D"/>
    <w:rsid w:val="00CC0E3C"/>
    <w:rsid w:val="00D04546"/>
    <w:rsid w:val="00DA5100"/>
    <w:rsid w:val="00DA6BE4"/>
    <w:rsid w:val="00DE0969"/>
    <w:rsid w:val="00DE4492"/>
    <w:rsid w:val="00E01EB7"/>
    <w:rsid w:val="00EF4394"/>
    <w:rsid w:val="00F3242F"/>
    <w:rsid w:val="00F43AAD"/>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542928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64839591">
      <w:bodyDiv w:val="1"/>
      <w:marLeft w:val="0"/>
      <w:marRight w:val="0"/>
      <w:marTop w:val="0"/>
      <w:marBottom w:val="0"/>
      <w:divBdr>
        <w:top w:val="none" w:sz="0" w:space="0" w:color="auto"/>
        <w:left w:val="none" w:sz="0" w:space="0" w:color="auto"/>
        <w:bottom w:val="none" w:sz="0" w:space="0" w:color="auto"/>
        <w:right w:val="none" w:sz="0" w:space="0" w:color="auto"/>
      </w:divBdr>
    </w:div>
    <w:div w:id="16098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1E34A42-971C-4FE3-ABA5-7E89958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12</cp:revision>
  <dcterms:created xsi:type="dcterms:W3CDTF">2024-04-26T05:49:00Z</dcterms:created>
  <dcterms:modified xsi:type="dcterms:W3CDTF">2024-05-02T14:26:00Z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