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B" w:rsidRDefault="00503D7C" w:rsidP="00503D7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>
        <w:rPr>
          <w:rFonts w:ascii="Helvetica-Bold" w:hAnsi="Helvetica-Bold" w:cs="Helvetica-Bold"/>
          <w:b/>
          <w:bCs/>
          <w:sz w:val="27"/>
          <w:szCs w:val="27"/>
        </w:rPr>
        <w:t xml:space="preserve">D&amp;T Technician </w:t>
      </w:r>
    </w:p>
    <w:p w:rsidR="00092F3B" w:rsidRDefault="00092F3B" w:rsidP="00092F3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>
        <w:rPr>
          <w:rFonts w:ascii="Helvetica-Bold" w:hAnsi="Helvetica-Bold" w:cs="Helvetica-Bold"/>
          <w:b/>
          <w:bCs/>
          <w:sz w:val="27"/>
          <w:szCs w:val="27"/>
        </w:rPr>
        <w:t>Including Product Design/Food/Textiles/Art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03D7C" w:rsidRPr="00503D7C" w:rsidRDefault="00503D7C" w:rsidP="00503D7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503D7C">
        <w:rPr>
          <w:rFonts w:ascii="Helvetica" w:hAnsi="Helvetica" w:cs="Helvetica"/>
          <w:b/>
          <w:sz w:val="24"/>
          <w:szCs w:val="24"/>
        </w:rPr>
        <w:t>Grade 5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Statement of Purpose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To work under the direction and instruction of senior staff to provide g</w:t>
      </w:r>
      <w:r w:rsidR="00092F3B">
        <w:rPr>
          <w:rFonts w:ascii="Helvetica" w:hAnsi="Helvetica" w:cs="Helvetica"/>
          <w:sz w:val="21"/>
          <w:szCs w:val="21"/>
        </w:rPr>
        <w:t xml:space="preserve">eneral technical support to the DT and Art </w:t>
      </w:r>
      <w:r>
        <w:rPr>
          <w:rFonts w:ascii="Helvetica" w:hAnsi="Helvetica" w:cs="Helvetica"/>
          <w:sz w:val="21"/>
          <w:szCs w:val="21"/>
        </w:rPr>
        <w:t>department.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Support to the Classroom</w:t>
      </w:r>
    </w:p>
    <w:p w:rsidR="00503D7C" w:rsidRPr="00503D7C" w:rsidRDefault="00503D7C" w:rsidP="00503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Provision of support services to the teaching staff in organising requirements for their work.</w:t>
      </w:r>
    </w:p>
    <w:p w:rsidR="00503D7C" w:rsidRPr="00503D7C" w:rsidRDefault="00503D7C" w:rsidP="00503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Preparation of materials to exact specification from stock as directed and clearing away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equipment. This entails the use of metal cutting, milling, turning machines and wood conversion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machines (plan</w:t>
      </w:r>
      <w:r w:rsidR="00092F3B">
        <w:rPr>
          <w:rFonts w:ascii="Helvetica" w:hAnsi="Helvetica" w:cs="Helvetica"/>
          <w:sz w:val="21"/>
          <w:szCs w:val="21"/>
        </w:rPr>
        <w:t xml:space="preserve">er/thicknesser, circular saw, </w:t>
      </w:r>
      <w:r>
        <w:rPr>
          <w:rFonts w:ascii="Helvetica" w:hAnsi="Helvetica" w:cs="Helvetica"/>
          <w:sz w:val="21"/>
          <w:szCs w:val="21"/>
        </w:rPr>
        <w:t>bandsaw</w:t>
      </w:r>
      <w:r w:rsidR="00092F3B">
        <w:rPr>
          <w:rFonts w:ascii="Helvetica" w:hAnsi="Helvetica" w:cs="Helvetica"/>
          <w:sz w:val="21"/>
          <w:szCs w:val="21"/>
        </w:rPr>
        <w:t>, sewing machines, cookers and kiln</w:t>
      </w:r>
      <w:r>
        <w:rPr>
          <w:rFonts w:ascii="Helvetica" w:hAnsi="Helvetica" w:cs="Helvetica"/>
          <w:sz w:val="21"/>
          <w:szCs w:val="21"/>
        </w:rPr>
        <w:t>).</w:t>
      </w:r>
    </w:p>
    <w:p w:rsidR="00503D7C" w:rsidRDefault="00503D7C" w:rsidP="00503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Assistance to teaching staff with demonstration lessons and practicals.</w:t>
      </w:r>
    </w:p>
    <w:p w:rsidR="00503D7C" w:rsidRPr="00503D7C" w:rsidRDefault="00503D7C" w:rsidP="00503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Oversight of specialised teaching areas, stores and/or preparation rooms and arrangements for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503D7C">
        <w:rPr>
          <w:rFonts w:ascii="Helvetica" w:hAnsi="Helvetica" w:cs="Helvetica"/>
          <w:sz w:val="21"/>
          <w:szCs w:val="21"/>
        </w:rPr>
        <w:t>maintenance and repair services to equipment and working surfaces</w:t>
      </w:r>
      <w:r w:rsidRPr="00503D7C">
        <w:rPr>
          <w:rFonts w:ascii="Times-Roman" w:hAnsi="Times-Roman" w:cs="Times-Roman"/>
          <w:sz w:val="21"/>
          <w:szCs w:val="21"/>
        </w:rPr>
        <w:t>.</w:t>
      </w:r>
    </w:p>
    <w:p w:rsidR="00503D7C" w:rsidRPr="00503D7C" w:rsidRDefault="00503D7C" w:rsidP="00503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Assisting in the maintenance of safety standards in the departments</w:t>
      </w:r>
      <w:r w:rsidRPr="00503D7C">
        <w:rPr>
          <w:rFonts w:ascii="Helvetica-Oblique" w:hAnsi="Helvetica-Oblique" w:cs="Helvetica-Oblique"/>
          <w:i/>
          <w:iCs/>
          <w:sz w:val="21"/>
          <w:szCs w:val="21"/>
        </w:rPr>
        <w:t>.</w:t>
      </w:r>
    </w:p>
    <w:p w:rsidR="00503D7C" w:rsidRPr="00503D7C" w:rsidRDefault="00503D7C" w:rsidP="00503D7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</w:t>
      </w:r>
      <w:r>
        <w:rPr>
          <w:rFonts w:ascii="Helvetica-Bold" w:hAnsi="Helvetica-Bold" w:cs="Helvetica-Bold"/>
          <w:b/>
          <w:bCs/>
          <w:sz w:val="23"/>
          <w:szCs w:val="23"/>
        </w:rPr>
        <w:t>upport to the Pupils</w:t>
      </w:r>
    </w:p>
    <w:p w:rsidR="00503D7C" w:rsidRPr="00503D7C" w:rsidRDefault="00503D7C" w:rsidP="00503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Assist in development of lesson/work plans.</w:t>
      </w:r>
    </w:p>
    <w:p w:rsidR="00503D7C" w:rsidRPr="00503D7C" w:rsidRDefault="00503D7C" w:rsidP="00503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Administration of coursework/work sheets etc.</w:t>
      </w:r>
    </w:p>
    <w:p w:rsidR="00503D7C" w:rsidRPr="00503D7C" w:rsidRDefault="00503D7C" w:rsidP="00503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Contribute to the planning, development and organisation of systems/procedures/policies.</w:t>
      </w:r>
    </w:p>
    <w:p w:rsidR="00503D7C" w:rsidRPr="00503D7C" w:rsidRDefault="00503D7C" w:rsidP="00503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Undertake marking of pupils work with specialist area and accurately record achievement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progress.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Administer and assess routine tests and invigilate exams/tests.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Administration</w:t>
      </w:r>
    </w:p>
    <w:p w:rsidR="00503D7C" w:rsidRPr="00503D7C" w:rsidRDefault="00503D7C" w:rsidP="00503D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Maintenance of stock and breakage records, catalogues and user manuals</w:t>
      </w:r>
      <w:r w:rsidRPr="00503D7C">
        <w:rPr>
          <w:rFonts w:ascii="Times-Roman" w:hAnsi="Times-Roman" w:cs="Times-Roman"/>
          <w:sz w:val="21"/>
          <w:szCs w:val="21"/>
        </w:rPr>
        <w:t>.</w:t>
      </w:r>
    </w:p>
    <w:p w:rsidR="00503D7C" w:rsidRPr="00092F3B" w:rsidRDefault="00503D7C" w:rsidP="00503D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Ordering, receiving and accounting for new stock and equipment.</w:t>
      </w:r>
    </w:p>
    <w:p w:rsidR="00092F3B" w:rsidRPr="00092F3B" w:rsidRDefault="00092F3B" w:rsidP="00503D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" w:hAnsi="Helvetica" w:cs="Helvetica"/>
          <w:sz w:val="21"/>
          <w:szCs w:val="21"/>
        </w:rPr>
        <w:t>To support the Curriculum Lead with the annual review of department Risk Assessments.</w:t>
      </w:r>
    </w:p>
    <w:p w:rsidR="00092F3B" w:rsidRPr="00092F3B" w:rsidRDefault="00092F3B" w:rsidP="00092F3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" w:hAnsi="Helvetica" w:cs="Helvetica"/>
          <w:sz w:val="21"/>
          <w:szCs w:val="21"/>
        </w:rPr>
        <w:t>To ensure all equipment is accounted for and stored securely, and the health and safety of the machinery is monitored.</w:t>
      </w:r>
    </w:p>
    <w:p w:rsidR="00503D7C" w:rsidRPr="00503D7C" w:rsidRDefault="00503D7C" w:rsidP="00503D7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R</w:t>
      </w:r>
      <w:r>
        <w:rPr>
          <w:rFonts w:ascii="Helvetica-Bold" w:hAnsi="Helvetica-Bold" w:cs="Helvetica-Bold"/>
          <w:b/>
          <w:bCs/>
          <w:sz w:val="23"/>
          <w:szCs w:val="23"/>
        </w:rPr>
        <w:t>esources</w:t>
      </w:r>
    </w:p>
    <w:p w:rsidR="00503D7C" w:rsidRPr="00503D7C" w:rsidRDefault="00503D7C" w:rsidP="00503D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Assist with the development of resources by:</w:t>
      </w:r>
    </w:p>
    <w:p w:rsidR="00503D7C" w:rsidRPr="00503D7C" w:rsidRDefault="00503D7C" w:rsidP="00503D7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making of models and fixtures;</w:t>
      </w:r>
    </w:p>
    <w:p w:rsidR="00503D7C" w:rsidRPr="00503D7C" w:rsidRDefault="00503D7C" w:rsidP="00503D7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the design and making of the jig, fixtures, racks, tool trays</w:t>
      </w:r>
      <w:r w:rsidRPr="00503D7C">
        <w:rPr>
          <w:rFonts w:ascii="Times-Roman" w:hAnsi="Times-Roman" w:cs="Times-Roman"/>
          <w:sz w:val="21"/>
          <w:szCs w:val="21"/>
        </w:rPr>
        <w:t>.</w:t>
      </w:r>
    </w:p>
    <w:p w:rsidR="00503D7C" w:rsidRPr="00503D7C" w:rsidRDefault="00503D7C" w:rsidP="00503D7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Pr="00503D7C" w:rsidRDefault="00503D7C" w:rsidP="00503D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Operation of audio-visual equipment and arrangement for appropriate maintenance and servicing.</w:t>
      </w:r>
    </w:p>
    <w:p w:rsidR="00503D7C" w:rsidRPr="00503D7C" w:rsidRDefault="00503D7C" w:rsidP="00503D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Prepare and make teaching aids as required working on own initiative.</w:t>
      </w:r>
    </w:p>
    <w:p w:rsidR="00503D7C" w:rsidRPr="00503D7C" w:rsidRDefault="00503D7C" w:rsidP="00503D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Design and construction of apparatus.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Health, Safety and Security</w:t>
      </w:r>
    </w:p>
    <w:p w:rsidR="00503D7C" w:rsidRP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Tool Maintenance - familiarisation with competence in:</w:t>
      </w:r>
    </w:p>
    <w:p w:rsidR="00503D7C" w:rsidRPr="00503D7C" w:rsidRDefault="00503D7C" w:rsidP="00503D7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t>Sharpening techniques for edge and point cutting and marking tools e.g. wood planes,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503D7C">
        <w:rPr>
          <w:rFonts w:ascii="Helvetica" w:hAnsi="Helvetica" w:cs="Helvetica"/>
          <w:sz w:val="21"/>
          <w:szCs w:val="21"/>
        </w:rPr>
        <w:t>chisels, twist drills, scribes etc.</w:t>
      </w:r>
    </w:p>
    <w:p w:rsidR="00503D7C" w:rsidRPr="00503D7C" w:rsidRDefault="00503D7C" w:rsidP="00503D7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 w:rsidRPr="00503D7C">
        <w:rPr>
          <w:rFonts w:ascii="Helvetica" w:hAnsi="Helvetica" w:cs="Helvetica"/>
          <w:sz w:val="21"/>
          <w:szCs w:val="21"/>
        </w:rPr>
        <w:lastRenderedPageBreak/>
        <w:t>Routine maintenance of hand and machine tools, including adjustment for wear and tear.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Pr="00503D7C" w:rsidRDefault="00503D7C" w:rsidP="00503D7C">
      <w:pPr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sz w:val="23"/>
          <w:szCs w:val="23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Support to School </w:t>
      </w:r>
      <w:r>
        <w:rPr>
          <w:rFonts w:ascii="Helvetica" w:hAnsi="Helvetica" w:cs="Helvetica"/>
          <w:sz w:val="21"/>
          <w:szCs w:val="21"/>
        </w:rPr>
        <w:t>(this list is not exhaustive and should reflect the ethos of</w:t>
      </w:r>
      <w:r>
        <w:rPr>
          <w:rFonts w:ascii="Helvetica" w:hAnsi="Helvetica" w:cs="Helvetica"/>
          <w:sz w:val="21"/>
          <w:szCs w:val="21"/>
        </w:rPr>
        <w:t xml:space="preserve"> the school)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Promote and safeguard the welfare of children and young pe</w:t>
      </w:r>
      <w:r>
        <w:rPr>
          <w:rFonts w:ascii="Helvetica" w:hAnsi="Helvetica" w:cs="Helvetica"/>
          <w:sz w:val="21"/>
          <w:szCs w:val="21"/>
        </w:rPr>
        <w:t xml:space="preserve">rsons you are responsible for or </w:t>
      </w:r>
      <w:r w:rsidRPr="00503D7C">
        <w:rPr>
          <w:rFonts w:ascii="Helvetica" w:hAnsi="Helvetica" w:cs="Helvetica"/>
          <w:sz w:val="21"/>
          <w:szCs w:val="21"/>
        </w:rPr>
        <w:t>come into contact with.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Be aware of and comply with policies and procedures relating to child protection, health, safety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503D7C">
        <w:rPr>
          <w:rFonts w:ascii="Helvetica" w:hAnsi="Helvetica" w:cs="Helvetica"/>
          <w:sz w:val="21"/>
          <w:szCs w:val="21"/>
        </w:rPr>
        <w:t>and security, confidentiality and data protection, reporting all concerns to an appropriate person.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Be aware of, support and ensure equal opportunities for all.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Contribute to the overall ethos/work/aims of the school.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Appreciate and support the role of other professionals.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Attend and participate in relevant meetings as required.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Participate in training and other learning activities and performance development as required.</w:t>
      </w:r>
    </w:p>
    <w:p w:rsidR="00503D7C" w:rsidRDefault="00503D7C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503D7C">
        <w:rPr>
          <w:rFonts w:ascii="Helvetica" w:hAnsi="Helvetica" w:cs="Helvetica"/>
          <w:sz w:val="21"/>
          <w:szCs w:val="21"/>
        </w:rPr>
        <w:t>Assist with pupil needs as appropriate during the school day.</w:t>
      </w:r>
    </w:p>
    <w:p w:rsidR="00092F3B" w:rsidRPr="00503D7C" w:rsidRDefault="00092F3B" w:rsidP="00503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First aid training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Note 1: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The content of this job description will be reviewed with the po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st holder on an annual basis in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line with the School’s performance and development review po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licy. Any significant change in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level of accountability that could result in a change to the grade must be 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discussed with the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post holder and the relevant trade union before submitting for re-evaluation.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>
        <w:rPr>
          <w:rFonts w:ascii="Helvetica-Bold" w:hAnsi="Helvetica-Bold" w:cs="Helvetica-Bold"/>
          <w:b/>
          <w:bCs/>
          <w:sz w:val="27"/>
          <w:szCs w:val="27"/>
        </w:rPr>
        <w:t>Person Specification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>
        <w:rPr>
          <w:rFonts w:ascii="Helvetica-Bold" w:hAnsi="Helvetica-Bold" w:cs="Helvetica-Bold"/>
          <w:b/>
          <w:bCs/>
          <w:sz w:val="27"/>
          <w:szCs w:val="27"/>
        </w:rPr>
        <w:t>D&amp;T Technician (Teaching and Learning)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503D7C" w:rsidTr="00503D7C">
        <w:tc>
          <w:tcPr>
            <w:tcW w:w="66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Essential Criteria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Measured By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</w:tr>
      <w:tr w:rsidR="00503D7C" w:rsidTr="00503D7C">
        <w:tc>
          <w:tcPr>
            <w:tcW w:w="66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Experience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Experience in a related discipline.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Working with or caring for children of a certain age.</w:t>
            </w:r>
          </w:p>
          <w:p w:rsidR="00092F3B" w:rsidRPr="00503D7C" w:rsidRDefault="00092F3B" w:rsidP="00503D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Experience with machines and woodworks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AF/I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</w:tr>
      <w:tr w:rsidR="00503D7C" w:rsidTr="00503D7C">
        <w:tc>
          <w:tcPr>
            <w:tcW w:w="66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Qualifications/Training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Good numeracy and literacy skills.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NVQ3 in Laboratory and Associ</w:t>
            </w:r>
            <w:r>
              <w:rPr>
                <w:rFonts w:ascii="Helvetica" w:hAnsi="Helvetica" w:cs="Helvetica"/>
                <w:sz w:val="21"/>
                <w:szCs w:val="21"/>
              </w:rPr>
              <w:t>ated Technical Activities (LATA)</w:t>
            </w:r>
          </w:p>
          <w:p w:rsidR="00503D7C" w:rsidRPr="00503D7C" w:rsidRDefault="00503D7C" w:rsidP="00503D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Educational or NVQ2 School Support Staff or other appropriate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503D7C">
              <w:rPr>
                <w:rFonts w:ascii="Helvetica" w:hAnsi="Helvetica" w:cs="Helvetica"/>
                <w:sz w:val="21"/>
                <w:szCs w:val="21"/>
              </w:rPr>
              <w:t>equivalent qualification or experience.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I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</w:tr>
      <w:tr w:rsidR="00503D7C" w:rsidTr="00503D7C">
        <w:tc>
          <w:tcPr>
            <w:tcW w:w="66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Knowledge/Skills</w:t>
            </w:r>
          </w:p>
          <w:p w:rsidR="00503D7C" w:rsidRPr="00503D7C" w:rsidRDefault="00503D7C" w:rsidP="00503D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Good standard of practical knowledge</w:t>
            </w:r>
          </w:p>
          <w:p w:rsidR="00503D7C" w:rsidRPr="00503D7C" w:rsidRDefault="00503D7C" w:rsidP="00503D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Good understanding and ability to use relevant equipment/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technology.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Ability to work constructively as part of a team.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Ability to relate well to children and to adults.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A commitment to own personal development.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An excellent standard of practical knowledge.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lastRenderedPageBreak/>
              <w:t>A working knowledge of relevant equipment.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Full working knowledge of relevant policies/codes of practice.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An understanding of curriculum development, planning, evaluation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503D7C">
              <w:rPr>
                <w:rFonts w:ascii="Helvetica" w:hAnsi="Helvetica" w:cs="Helvetica"/>
                <w:sz w:val="21"/>
                <w:szCs w:val="21"/>
              </w:rPr>
              <w:t>and implementation.</w:t>
            </w:r>
          </w:p>
          <w:p w:rsid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In depth understanding of specific area of learning e.g. Design.</w:t>
            </w:r>
          </w:p>
          <w:p w:rsidR="00503D7C" w:rsidRPr="00503D7C" w:rsidRDefault="00503D7C" w:rsidP="00503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503D7C">
              <w:rPr>
                <w:rFonts w:ascii="Helvetica" w:hAnsi="Helvetica" w:cs="Helvetica"/>
                <w:sz w:val="21"/>
                <w:szCs w:val="21"/>
              </w:rPr>
              <w:t>Understand the principles of child development and learning</w:t>
            </w:r>
          </w:p>
          <w:p w:rsidR="001237D2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p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>rocesses.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Good organising, planning and prioritising skills.</w:t>
            </w:r>
          </w:p>
          <w:p w:rsidR="00503D7C" w:rsidRPr="001237D2" w:rsidRDefault="00503D7C" w:rsidP="00503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Methodical with a good attention to detail.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AF/I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</w:tr>
      <w:tr w:rsidR="00503D7C" w:rsidTr="00503D7C">
        <w:tc>
          <w:tcPr>
            <w:tcW w:w="6658" w:type="dxa"/>
          </w:tcPr>
          <w:p w:rsidR="001237D2" w:rsidRDefault="001237D2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Behavioural Attributes</w:t>
            </w:r>
          </w:p>
          <w:p w:rsidR="001237D2" w:rsidRPr="001237D2" w:rsidRDefault="00503D7C" w:rsidP="00503D7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Customer focused.</w:t>
            </w:r>
          </w:p>
          <w:p w:rsidR="00503D7C" w:rsidRPr="001237D2" w:rsidRDefault="00503D7C" w:rsidP="00503D7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Has a friendly yet professional and respectful approach which</w:t>
            </w:r>
          </w:p>
          <w:p w:rsidR="001237D2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demonstrates su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>pport and shows mutual respect.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Open, honest and an active listener.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Takes responsibility and accountability.</w:t>
            </w:r>
          </w:p>
          <w:p w:rsidR="00503D7C" w:rsidRPr="001237D2" w:rsidRDefault="00503D7C" w:rsidP="00503D7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Committed to the needs of the pupils, parents and other</w:t>
            </w:r>
          </w:p>
          <w:p w:rsidR="001237D2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stakeholders and challenge barr</w:t>
            </w:r>
            <w:r w:rsidR="00BF4209">
              <w:rPr>
                <w:rFonts w:ascii="Helvetica" w:hAnsi="Helvetica" w:cs="Helvetica"/>
                <w:sz w:val="21"/>
                <w:szCs w:val="21"/>
              </w:rPr>
              <w:t xml:space="preserve">iers and blocks to providing an  </w:t>
            </w:r>
            <w:bookmarkStart w:id="0" w:name="_GoBack"/>
            <w:bookmarkEnd w:id="0"/>
            <w:r w:rsidR="001237D2">
              <w:rPr>
                <w:rFonts w:ascii="Helvetica" w:hAnsi="Helvetica" w:cs="Helvetica"/>
                <w:sz w:val="21"/>
                <w:szCs w:val="21"/>
              </w:rPr>
              <w:t>effective service.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Demonstrates a “can do” attitude including suggesting solutions,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participating, trusting and encouraging others and achieving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expectations.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Is committed to the provision and improvement of quality service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provision.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Is adaptable to change/embraces and welcomes change.</w:t>
            </w:r>
          </w:p>
          <w:p w:rsidR="001237D2" w:rsidRPr="00BF4209" w:rsidRDefault="00503D7C" w:rsidP="00503D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Acts with pace and urgency being energetic, enthusiastic and</w:t>
            </w:r>
            <w:r w:rsidR="00BF4209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F4209">
              <w:rPr>
                <w:rFonts w:ascii="Helvetica" w:hAnsi="Helvetica" w:cs="Helvetica"/>
                <w:sz w:val="21"/>
                <w:szCs w:val="21"/>
              </w:rPr>
              <w:t>d</w:t>
            </w:r>
            <w:r w:rsidR="001237D2" w:rsidRPr="00BF4209">
              <w:rPr>
                <w:rFonts w:ascii="Helvetica" w:hAnsi="Helvetica" w:cs="Helvetica"/>
                <w:sz w:val="21"/>
                <w:szCs w:val="21"/>
              </w:rPr>
              <w:t>ecisive.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Communicates effectively.</w:t>
            </w:r>
          </w:p>
          <w:p w:rsidR="001237D2" w:rsidRDefault="00503D7C" w:rsidP="00503D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Has the ability to learn from experiences and challenges.</w:t>
            </w:r>
          </w:p>
          <w:p w:rsidR="00503D7C" w:rsidRPr="001237D2" w:rsidRDefault="00503D7C" w:rsidP="00503D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1237D2">
              <w:rPr>
                <w:rFonts w:ascii="Helvetica" w:hAnsi="Helvetica" w:cs="Helvetica"/>
                <w:sz w:val="21"/>
                <w:szCs w:val="21"/>
              </w:rPr>
              <w:t>Is committed to the continuous development of self and others by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keeping up to date and sharing knowledge, encouraging new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ideas, seeking new opportunities and challenges, open to ideas</w:t>
            </w:r>
            <w:r w:rsidR="001237D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237D2">
              <w:rPr>
                <w:rFonts w:ascii="Helvetica" w:hAnsi="Helvetica" w:cs="Helvetica"/>
                <w:sz w:val="21"/>
                <w:szCs w:val="21"/>
              </w:rPr>
              <w:t>and developing new skills</w:t>
            </w:r>
            <w:r w:rsidRPr="001237D2">
              <w:rPr>
                <w:rFonts w:ascii="Times-Roman" w:hAnsi="Times-Roman" w:cs="Times-Roman"/>
                <w:sz w:val="21"/>
                <w:szCs w:val="21"/>
              </w:rPr>
              <w:t>.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AF/I</w:t>
            </w:r>
          </w:p>
          <w:p w:rsidR="00503D7C" w:rsidRDefault="00503D7C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</w:tr>
      <w:tr w:rsidR="001237D2" w:rsidTr="00503D7C">
        <w:tc>
          <w:tcPr>
            <w:tcW w:w="6658" w:type="dxa"/>
          </w:tcPr>
          <w:p w:rsidR="001237D2" w:rsidRDefault="001237D2" w:rsidP="00503D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</w:p>
        </w:tc>
        <w:tc>
          <w:tcPr>
            <w:tcW w:w="2358" w:type="dxa"/>
          </w:tcPr>
          <w:p w:rsidR="001237D2" w:rsidRDefault="001237D2" w:rsidP="00503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</w:p>
        </w:tc>
      </w:tr>
    </w:tbl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AF - Application form I - Interview</w:t>
      </w: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</w:p>
    <w:p w:rsidR="00503D7C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Note 1:</w:t>
      </w:r>
    </w:p>
    <w:p w:rsidR="00092F3B" w:rsidRDefault="00503D7C" w:rsidP="00503D7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In addition to the ability to perform the duties of the post, issu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es relating to safeguarding and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promoting the welfare of children will need to be d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emonstrated these will include:</w:t>
      </w:r>
    </w:p>
    <w:p w:rsidR="00092F3B" w:rsidRDefault="00503D7C" w:rsidP="00503D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 w:rsidRP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Motivation to work with children and young people.</w:t>
      </w:r>
    </w:p>
    <w:p w:rsidR="00092F3B" w:rsidRDefault="00503D7C" w:rsidP="00503D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 w:rsidRP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Ability to form and maintain appropriate relationships and personal boundaries with</w:t>
      </w:r>
      <w:r w:rsid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 </w:t>
      </w:r>
      <w:r w:rsidRP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children and young people.</w:t>
      </w:r>
    </w:p>
    <w:p w:rsidR="00744C82" w:rsidRPr="00092F3B" w:rsidRDefault="00503D7C" w:rsidP="00503D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 w:rsidRP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Emotional resilience in working with challenging behaviou</w:t>
      </w:r>
      <w:r w:rsidRPr="00092F3B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r</w:t>
      </w:r>
    </w:p>
    <w:sectPr w:rsidR="00744C82" w:rsidRPr="0009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9D4"/>
    <w:multiLevelType w:val="hybridMultilevel"/>
    <w:tmpl w:val="BA4A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993"/>
    <w:multiLevelType w:val="hybridMultilevel"/>
    <w:tmpl w:val="7E4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981"/>
    <w:multiLevelType w:val="hybridMultilevel"/>
    <w:tmpl w:val="2AC2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61F6"/>
    <w:multiLevelType w:val="hybridMultilevel"/>
    <w:tmpl w:val="DECE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3010"/>
    <w:multiLevelType w:val="hybridMultilevel"/>
    <w:tmpl w:val="1DC68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6B35"/>
    <w:multiLevelType w:val="hybridMultilevel"/>
    <w:tmpl w:val="1D5E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61AC"/>
    <w:multiLevelType w:val="hybridMultilevel"/>
    <w:tmpl w:val="8710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404EA"/>
    <w:multiLevelType w:val="hybridMultilevel"/>
    <w:tmpl w:val="6556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039D"/>
    <w:multiLevelType w:val="hybridMultilevel"/>
    <w:tmpl w:val="4388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F3F2D"/>
    <w:multiLevelType w:val="hybridMultilevel"/>
    <w:tmpl w:val="D0DA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79B3"/>
    <w:multiLevelType w:val="hybridMultilevel"/>
    <w:tmpl w:val="1FE0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81A"/>
    <w:multiLevelType w:val="hybridMultilevel"/>
    <w:tmpl w:val="B33C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79AB"/>
    <w:multiLevelType w:val="hybridMultilevel"/>
    <w:tmpl w:val="DCB6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D5EFB"/>
    <w:multiLevelType w:val="hybridMultilevel"/>
    <w:tmpl w:val="2468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92E39"/>
    <w:multiLevelType w:val="hybridMultilevel"/>
    <w:tmpl w:val="1AFA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C"/>
    <w:rsid w:val="00092F3B"/>
    <w:rsid w:val="001237D2"/>
    <w:rsid w:val="00503D7C"/>
    <w:rsid w:val="00744C82"/>
    <w:rsid w:val="00B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DD5A"/>
  <w15:chartTrackingRefBased/>
  <w15:docId w15:val="{4B149E3C-70FF-49EA-82B5-B712F27A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7C"/>
    <w:pPr>
      <w:ind w:left="720"/>
      <w:contextualSpacing/>
    </w:pPr>
  </w:style>
  <w:style w:type="table" w:styleId="TableGrid">
    <w:name w:val="Table Grid"/>
    <w:basedOn w:val="TableNormal"/>
    <w:uiPriority w:val="39"/>
    <w:rsid w:val="0050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Painsley Catholic Academy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Collins</dc:creator>
  <cp:keywords/>
  <dc:description/>
  <cp:lastModifiedBy>Kerry Collins</cp:lastModifiedBy>
  <cp:revision>2</cp:revision>
  <cp:lastPrinted>2022-01-17T14:54:00Z</cp:lastPrinted>
  <dcterms:created xsi:type="dcterms:W3CDTF">2022-01-17T14:14:00Z</dcterms:created>
  <dcterms:modified xsi:type="dcterms:W3CDTF">2022-01-17T14:56:00Z</dcterms:modified>
</cp:coreProperties>
</file>