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A7D2" w14:textId="77777777" w:rsidR="002478B1" w:rsidRDefault="002478B1" w:rsidP="00D754B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5E09C935" w14:textId="5E4BA63B" w:rsidR="002B0D51" w:rsidRPr="00E43C02" w:rsidRDefault="00412B14" w:rsidP="00D754B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Assistant</w:t>
      </w:r>
      <w:r w:rsidR="00D754B5" w:rsidRPr="00E43C02">
        <w:rPr>
          <w:rFonts w:ascii="Arial" w:hAnsi="Arial" w:cs="Arial"/>
          <w:b/>
          <w:bCs/>
          <w:sz w:val="32"/>
          <w:szCs w:val="32"/>
        </w:rPr>
        <w:t xml:space="preserve"> Headteacher</w:t>
      </w:r>
      <w:r w:rsidR="00E43C02" w:rsidRPr="00E43C02">
        <w:rPr>
          <w:rFonts w:ascii="Arial" w:hAnsi="Arial" w:cs="Arial"/>
          <w:b/>
          <w:bCs/>
          <w:sz w:val="32"/>
          <w:szCs w:val="32"/>
        </w:rPr>
        <w:t xml:space="preserve">, </w:t>
      </w:r>
      <w:r w:rsidR="00D754B5" w:rsidRPr="00E43C02">
        <w:rPr>
          <w:rFonts w:ascii="Arial" w:hAnsi="Arial" w:cs="Arial"/>
          <w:b/>
          <w:bCs/>
          <w:sz w:val="32"/>
          <w:szCs w:val="32"/>
        </w:rPr>
        <w:t>100%, permanent</w:t>
      </w:r>
    </w:p>
    <w:p w14:paraId="58653AB1" w14:textId="5E4098A0" w:rsidR="00D754B5" w:rsidRPr="00D754B5" w:rsidRDefault="00D02301" w:rsidP="00D754B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754B5">
        <w:rPr>
          <w:rFonts w:ascii="Arial" w:hAnsi="Arial" w:cs="Arial"/>
          <w:b/>
          <w:bCs/>
          <w:sz w:val="28"/>
          <w:szCs w:val="28"/>
        </w:rPr>
        <w:t>L</w:t>
      </w:r>
      <w:r w:rsidR="00412B14">
        <w:rPr>
          <w:rFonts w:ascii="Arial" w:hAnsi="Arial" w:cs="Arial"/>
          <w:b/>
          <w:bCs/>
          <w:sz w:val="28"/>
          <w:szCs w:val="28"/>
        </w:rPr>
        <w:t>1-5</w:t>
      </w:r>
      <w:r w:rsidR="002B0D51">
        <w:rPr>
          <w:rFonts w:ascii="Arial" w:hAnsi="Arial" w:cs="Arial"/>
          <w:b/>
          <w:bCs/>
          <w:sz w:val="28"/>
          <w:szCs w:val="28"/>
        </w:rPr>
        <w:t xml:space="preserve"> (£</w:t>
      </w:r>
      <w:r w:rsidR="00412B14">
        <w:rPr>
          <w:rFonts w:ascii="Arial" w:hAnsi="Arial" w:cs="Arial"/>
          <w:b/>
          <w:bCs/>
          <w:sz w:val="28"/>
          <w:szCs w:val="28"/>
        </w:rPr>
        <w:t>42,195 - £46,566</w:t>
      </w:r>
      <w:r w:rsidR="002B0D51">
        <w:rPr>
          <w:rFonts w:ascii="Arial" w:hAnsi="Arial" w:cs="Arial"/>
          <w:b/>
          <w:bCs/>
          <w:sz w:val="28"/>
          <w:szCs w:val="28"/>
        </w:rPr>
        <w:t>)</w:t>
      </w:r>
    </w:p>
    <w:p w14:paraId="36D45117" w14:textId="77777777" w:rsidR="00412B14" w:rsidRDefault="00412B14" w:rsidP="00D754B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3E0E7129" w14:textId="11F47480" w:rsidR="00D754B5" w:rsidRPr="00412B14" w:rsidRDefault="00412B14" w:rsidP="00D754B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12B14">
        <w:rPr>
          <w:rFonts w:ascii="Arial" w:hAnsi="Arial" w:cs="Arial"/>
          <w:b/>
          <w:bCs/>
          <w:sz w:val="28"/>
          <w:szCs w:val="28"/>
        </w:rPr>
        <w:t xml:space="preserve">The </w:t>
      </w:r>
      <w:r w:rsidR="00FA6EA5">
        <w:rPr>
          <w:rFonts w:ascii="Arial" w:hAnsi="Arial" w:cs="Arial"/>
          <w:b/>
          <w:bCs/>
          <w:sz w:val="28"/>
          <w:szCs w:val="28"/>
        </w:rPr>
        <w:t xml:space="preserve">Venn </w:t>
      </w:r>
      <w:r w:rsidRPr="00412B14">
        <w:rPr>
          <w:rFonts w:ascii="Arial" w:hAnsi="Arial" w:cs="Arial"/>
          <w:b/>
          <w:bCs/>
          <w:sz w:val="28"/>
          <w:szCs w:val="28"/>
        </w:rPr>
        <w:t xml:space="preserve">Boulevard and </w:t>
      </w:r>
      <w:r w:rsidR="00FA6EA5">
        <w:rPr>
          <w:rFonts w:ascii="Arial" w:hAnsi="Arial" w:cs="Arial"/>
          <w:b/>
          <w:bCs/>
          <w:sz w:val="28"/>
          <w:szCs w:val="28"/>
        </w:rPr>
        <w:t>the Health and Medical Needs Education Service</w:t>
      </w:r>
    </w:p>
    <w:p w14:paraId="63F813B8" w14:textId="77777777" w:rsidR="00D754B5" w:rsidRPr="00D754B5" w:rsidRDefault="00D754B5" w:rsidP="00412B14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2B530F21" w14:textId="4705EED7" w:rsidR="00D02301" w:rsidRPr="00412B14" w:rsidRDefault="00D754B5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9676D">
        <w:rPr>
          <w:rFonts w:ascii="Arial" w:hAnsi="Arial" w:cs="Arial"/>
          <w:sz w:val="20"/>
          <w:szCs w:val="20"/>
        </w:rPr>
        <w:t xml:space="preserve">Venn </w:t>
      </w:r>
      <w:r w:rsidRPr="00412B14">
        <w:rPr>
          <w:rFonts w:ascii="Arial" w:hAnsi="Arial" w:cs="Arial"/>
          <w:sz w:val="20"/>
          <w:szCs w:val="20"/>
        </w:rPr>
        <w:t>Academy Trust</w:t>
      </w:r>
      <w:r w:rsidR="00D02301" w:rsidRPr="00412B14">
        <w:rPr>
          <w:rFonts w:ascii="Arial" w:hAnsi="Arial" w:cs="Arial"/>
          <w:sz w:val="20"/>
          <w:szCs w:val="20"/>
        </w:rPr>
        <w:t xml:space="preserve"> aims to explore the qualities that make our pupils unique.</w:t>
      </w:r>
    </w:p>
    <w:p w14:paraId="1390F131" w14:textId="77777777" w:rsidR="00CB0D21" w:rsidRPr="00412B14" w:rsidRDefault="00CB0D21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8B00A5B" w14:textId="3E851C06" w:rsidR="00D754B5" w:rsidRPr="00412B14" w:rsidRDefault="00D02301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B14">
        <w:rPr>
          <w:rFonts w:ascii="Arial" w:hAnsi="Arial" w:cs="Arial"/>
          <w:sz w:val="20"/>
          <w:szCs w:val="20"/>
        </w:rPr>
        <w:t>We aim to provide the best educational support and provision for young people in the Yorkshire and Humber region.</w:t>
      </w:r>
    </w:p>
    <w:p w14:paraId="03A2B74C" w14:textId="77777777" w:rsidR="00412B14" w:rsidRPr="00412B14" w:rsidRDefault="00412B14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18E1233" w14:textId="6178D69A" w:rsidR="00D754B5" w:rsidRPr="00412B14" w:rsidRDefault="00412B14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B14">
        <w:rPr>
          <w:rFonts w:ascii="Arial" w:hAnsi="Arial" w:cs="Arial"/>
          <w:sz w:val="20"/>
          <w:szCs w:val="20"/>
        </w:rPr>
        <w:t>We are</w:t>
      </w:r>
      <w:r w:rsidR="00D754B5" w:rsidRPr="00412B14">
        <w:rPr>
          <w:rFonts w:ascii="Arial" w:hAnsi="Arial" w:cs="Arial"/>
          <w:sz w:val="20"/>
          <w:szCs w:val="20"/>
        </w:rPr>
        <w:t xml:space="preserve"> looking for an exceptional, inspirational </w:t>
      </w:r>
      <w:r w:rsidRPr="00412B14">
        <w:rPr>
          <w:rFonts w:ascii="Arial" w:hAnsi="Arial" w:cs="Arial"/>
          <w:sz w:val="20"/>
          <w:szCs w:val="20"/>
        </w:rPr>
        <w:t xml:space="preserve">Assistant Headteacher to join our senior leadership team, across these two unique and varied settings as part of </w:t>
      </w:r>
      <w:r w:rsidR="00D754B5" w:rsidRPr="00412B14">
        <w:rPr>
          <w:rFonts w:ascii="Arial" w:hAnsi="Arial" w:cs="Arial"/>
          <w:sz w:val="20"/>
          <w:szCs w:val="20"/>
        </w:rPr>
        <w:t xml:space="preserve">Venn’s </w:t>
      </w:r>
      <w:r w:rsidR="00D02301" w:rsidRPr="00412B14">
        <w:rPr>
          <w:rFonts w:ascii="Arial" w:hAnsi="Arial" w:cs="Arial"/>
          <w:sz w:val="20"/>
          <w:szCs w:val="20"/>
        </w:rPr>
        <w:t xml:space="preserve">SEMH </w:t>
      </w:r>
      <w:r w:rsidR="002B0D51" w:rsidRPr="00412B14">
        <w:rPr>
          <w:rFonts w:ascii="Arial" w:hAnsi="Arial" w:cs="Arial"/>
          <w:sz w:val="20"/>
          <w:szCs w:val="20"/>
        </w:rPr>
        <w:t>secondary</w:t>
      </w:r>
      <w:r w:rsidR="00D754B5" w:rsidRPr="00412B14">
        <w:rPr>
          <w:rFonts w:ascii="Arial" w:hAnsi="Arial" w:cs="Arial"/>
          <w:sz w:val="20"/>
          <w:szCs w:val="20"/>
        </w:rPr>
        <w:t xml:space="preserve"> special and alternative provision</w:t>
      </w:r>
      <w:r w:rsidR="00D02301" w:rsidRPr="00412B14">
        <w:rPr>
          <w:rFonts w:ascii="Arial" w:hAnsi="Arial" w:cs="Arial"/>
          <w:sz w:val="20"/>
          <w:szCs w:val="20"/>
        </w:rPr>
        <w:t xml:space="preserve"> academies</w:t>
      </w:r>
      <w:r w:rsidR="00D754B5" w:rsidRPr="00412B14">
        <w:rPr>
          <w:rFonts w:ascii="Arial" w:hAnsi="Arial" w:cs="Arial"/>
          <w:sz w:val="20"/>
          <w:szCs w:val="20"/>
        </w:rPr>
        <w:t xml:space="preserve">.  </w:t>
      </w:r>
      <w:r w:rsidRPr="00412B14">
        <w:rPr>
          <w:rFonts w:ascii="Arial" w:hAnsi="Arial" w:cs="Arial"/>
          <w:sz w:val="20"/>
          <w:szCs w:val="20"/>
        </w:rPr>
        <w:t>The site is collocated on the Boulevard in Hull with the Boulevard Nursery.  The different elements of our setting are listed below.</w:t>
      </w:r>
    </w:p>
    <w:p w14:paraId="225D19FA" w14:textId="77A0C92D" w:rsidR="00D754B5" w:rsidRPr="00412B14" w:rsidRDefault="00D754B5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E52C113" w14:textId="18EE6DD2" w:rsidR="002B0D51" w:rsidRPr="00412B14" w:rsidRDefault="002B0D51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B14">
        <w:rPr>
          <w:rFonts w:ascii="Arial" w:hAnsi="Arial" w:cs="Arial"/>
          <w:b/>
          <w:sz w:val="20"/>
          <w:szCs w:val="20"/>
        </w:rPr>
        <w:t>The Venn Boulevard Centre</w:t>
      </w:r>
      <w:r w:rsidR="00E43C02" w:rsidRPr="00412B14">
        <w:rPr>
          <w:rFonts w:ascii="Arial" w:hAnsi="Arial" w:cs="Arial"/>
          <w:sz w:val="20"/>
          <w:szCs w:val="20"/>
        </w:rPr>
        <w:t xml:space="preserve"> - this is an alternative provision for secondary pupils who are unable to access mainstream education</w:t>
      </w:r>
      <w:r w:rsidR="00FA6EA5">
        <w:rPr>
          <w:rFonts w:ascii="Arial" w:hAnsi="Arial" w:cs="Arial"/>
          <w:sz w:val="20"/>
          <w:szCs w:val="20"/>
        </w:rPr>
        <w:t xml:space="preserve">. It has special school designation and has some bespoke special classes for students with EHCPs. </w:t>
      </w:r>
    </w:p>
    <w:p w14:paraId="0DC7F38D" w14:textId="4AD70FEF" w:rsidR="002B0D51" w:rsidRPr="00412B14" w:rsidRDefault="002B0D51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78B3381" w14:textId="32957034" w:rsidR="002B0D51" w:rsidRPr="00412B14" w:rsidRDefault="002B0D51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B14">
        <w:rPr>
          <w:rFonts w:ascii="Arial" w:hAnsi="Arial" w:cs="Arial"/>
          <w:b/>
          <w:sz w:val="20"/>
          <w:szCs w:val="20"/>
        </w:rPr>
        <w:t>The Boulevard Nursery</w:t>
      </w:r>
      <w:r w:rsidR="00E43C02" w:rsidRPr="00412B14">
        <w:rPr>
          <w:rFonts w:ascii="Arial" w:hAnsi="Arial" w:cs="Arial"/>
          <w:sz w:val="20"/>
          <w:szCs w:val="20"/>
        </w:rPr>
        <w:t xml:space="preserve"> – this is the 0-</w:t>
      </w:r>
      <w:r w:rsidR="00675FA6" w:rsidRPr="00412B14">
        <w:rPr>
          <w:rFonts w:ascii="Arial" w:hAnsi="Arial" w:cs="Arial"/>
          <w:sz w:val="20"/>
          <w:szCs w:val="20"/>
        </w:rPr>
        <w:t>3</w:t>
      </w:r>
      <w:r w:rsidR="00E43C02" w:rsidRPr="00412B14">
        <w:rPr>
          <w:rFonts w:ascii="Arial" w:hAnsi="Arial" w:cs="Arial"/>
          <w:sz w:val="20"/>
          <w:szCs w:val="20"/>
        </w:rPr>
        <w:t xml:space="preserve"> provision based on the same site as the Venn Boulevard Centre and The Sullivan Centre, providing care for some student’s children, as well as providing childcare in the community.</w:t>
      </w:r>
    </w:p>
    <w:p w14:paraId="6B071267" w14:textId="0959DC2D" w:rsidR="002B0D51" w:rsidRPr="00412B14" w:rsidRDefault="002B0D51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7606D68" w14:textId="5CE6FCF9" w:rsidR="002B0D51" w:rsidRPr="00412B14" w:rsidRDefault="00FA6EA5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A6EA5">
        <w:rPr>
          <w:rFonts w:ascii="Arial" w:hAnsi="Arial" w:cs="Arial"/>
          <w:b/>
          <w:bCs/>
          <w:sz w:val="20"/>
          <w:szCs w:val="20"/>
        </w:rPr>
        <w:t>The Health and Medical Needs Education Service</w:t>
      </w:r>
      <w:r w:rsidRPr="00412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E43C02" w:rsidRPr="00412B14">
        <w:rPr>
          <w:rFonts w:ascii="Arial" w:hAnsi="Arial" w:cs="Arial"/>
          <w:sz w:val="20"/>
          <w:szCs w:val="20"/>
        </w:rPr>
        <w:t xml:space="preserve">this includes providing education for primary and secondary pupils who need support for their complex mental or physical needs.  This provision also </w:t>
      </w:r>
      <w:bookmarkStart w:id="0" w:name="_GoBack"/>
      <w:bookmarkEnd w:id="0"/>
      <w:r w:rsidR="00E43C02" w:rsidRPr="00412B14">
        <w:rPr>
          <w:rFonts w:ascii="Arial" w:hAnsi="Arial" w:cs="Arial"/>
          <w:sz w:val="20"/>
          <w:szCs w:val="20"/>
        </w:rPr>
        <w:t>includes the classroom at Hull Royal Infirmary</w:t>
      </w:r>
      <w:r w:rsidR="003968EF">
        <w:rPr>
          <w:rFonts w:ascii="Arial" w:hAnsi="Arial" w:cs="Arial"/>
          <w:sz w:val="20"/>
          <w:szCs w:val="20"/>
        </w:rPr>
        <w:t>, an inpatient unit</w:t>
      </w:r>
      <w:r w:rsidR="00E43C02" w:rsidRPr="00412B14">
        <w:rPr>
          <w:rFonts w:ascii="Arial" w:hAnsi="Arial" w:cs="Arial"/>
          <w:sz w:val="20"/>
          <w:szCs w:val="20"/>
        </w:rPr>
        <w:t xml:space="preserve"> and a Home Tuition service for children and young people who are unable to attend their mainstream school. </w:t>
      </w:r>
    </w:p>
    <w:p w14:paraId="0B4C0B23" w14:textId="440F72D0" w:rsidR="002B0D51" w:rsidRPr="00412B14" w:rsidRDefault="002B0D51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FE2DFC7" w14:textId="77777777" w:rsidR="00412B14" w:rsidRPr="00412B14" w:rsidRDefault="00412B14" w:rsidP="00412B1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12B14">
        <w:rPr>
          <w:rFonts w:ascii="Arial" w:hAnsi="Arial" w:cs="Arial"/>
          <w:sz w:val="20"/>
          <w:szCs w:val="20"/>
        </w:rPr>
        <w:t>At Venn Academy Trust, we believe in maximising the potential for all, including our employees. We offer a range of employee benefits including investment in CPD to assist us in our continued objective to deliver outstanding education to the community.</w:t>
      </w:r>
    </w:p>
    <w:p w14:paraId="1FB4692F" w14:textId="6733FED2" w:rsidR="00412B14" w:rsidRPr="00412B14" w:rsidRDefault="00412B14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785CB66" w14:textId="3DA6D393" w:rsidR="00412B14" w:rsidRPr="00412B14" w:rsidRDefault="00412B14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B14">
        <w:rPr>
          <w:rFonts w:ascii="Arial" w:hAnsi="Arial" w:cs="Arial"/>
          <w:sz w:val="20"/>
          <w:szCs w:val="20"/>
        </w:rPr>
        <w:t>Applications from teachers who are from special, secondary or primary backgrounds are very welcome.</w:t>
      </w:r>
    </w:p>
    <w:p w14:paraId="18413C7C" w14:textId="77777777" w:rsidR="00412B14" w:rsidRPr="00412B14" w:rsidRDefault="00412B14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DD1EE4C" w14:textId="7F351F36" w:rsidR="00D754B5" w:rsidRPr="00412B14" w:rsidRDefault="00412B14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B14">
        <w:rPr>
          <w:rFonts w:ascii="Arial" w:hAnsi="Arial" w:cs="Arial"/>
          <w:sz w:val="20"/>
          <w:szCs w:val="20"/>
        </w:rPr>
        <w:t xml:space="preserve">Visits to the school are warmly welcomed.  </w:t>
      </w:r>
      <w:r w:rsidR="00D754B5" w:rsidRPr="00412B14">
        <w:rPr>
          <w:rFonts w:ascii="Arial" w:hAnsi="Arial" w:cs="Arial"/>
          <w:sz w:val="20"/>
          <w:szCs w:val="20"/>
        </w:rPr>
        <w:t xml:space="preserve">For an informal and confidential conversation please contact </w:t>
      </w:r>
      <w:r w:rsidRPr="00412B14">
        <w:rPr>
          <w:rFonts w:ascii="Arial" w:hAnsi="Arial" w:cs="Arial"/>
          <w:sz w:val="20"/>
          <w:szCs w:val="20"/>
        </w:rPr>
        <w:t>Claire Goodaire, Executive Headteacher</w:t>
      </w:r>
      <w:r w:rsidR="00D754B5" w:rsidRPr="00412B14">
        <w:rPr>
          <w:rFonts w:ascii="Arial" w:hAnsi="Arial" w:cs="Arial"/>
          <w:sz w:val="20"/>
          <w:szCs w:val="20"/>
        </w:rPr>
        <w:t xml:space="preserve"> on </w:t>
      </w:r>
      <w:r w:rsidR="003968EF">
        <w:rPr>
          <w:rFonts w:ascii="Arial" w:hAnsi="Arial" w:cs="Arial"/>
          <w:sz w:val="20"/>
          <w:szCs w:val="20"/>
        </w:rPr>
        <w:t xml:space="preserve">01482 585203 or email </w:t>
      </w:r>
      <w:hyperlink r:id="rId9" w:history="1">
        <w:r w:rsidR="003968EF" w:rsidRPr="001B59E4">
          <w:rPr>
            <w:rStyle w:val="Hyperlink"/>
            <w:rFonts w:ascii="Arial" w:hAnsi="Arial" w:cs="Arial"/>
            <w:sz w:val="20"/>
            <w:szCs w:val="20"/>
          </w:rPr>
          <w:t>claire.goodaire@vennacademy.org</w:t>
        </w:r>
      </w:hyperlink>
      <w:r w:rsidR="003968EF">
        <w:rPr>
          <w:rFonts w:ascii="Arial" w:hAnsi="Arial" w:cs="Arial"/>
          <w:sz w:val="20"/>
          <w:szCs w:val="20"/>
        </w:rPr>
        <w:t xml:space="preserve"> </w:t>
      </w:r>
    </w:p>
    <w:p w14:paraId="69AFA7D5" w14:textId="77777777" w:rsidR="00D754B5" w:rsidRPr="00412B14" w:rsidRDefault="00D754B5" w:rsidP="00D023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B14">
        <w:rPr>
          <w:rFonts w:ascii="Arial" w:hAnsi="Arial" w:cs="Arial"/>
          <w:sz w:val="20"/>
          <w:szCs w:val="20"/>
        </w:rPr>
        <w:t xml:space="preserve"> </w:t>
      </w:r>
    </w:p>
    <w:p w14:paraId="12C6887F" w14:textId="6444403C" w:rsidR="00D754B5" w:rsidRPr="00E43C02" w:rsidRDefault="00D754B5" w:rsidP="00D02301">
      <w:pPr>
        <w:pStyle w:val="Standard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B14">
        <w:rPr>
          <w:rFonts w:ascii="Arial" w:hAnsi="Arial" w:cs="Arial"/>
          <w:sz w:val="20"/>
          <w:szCs w:val="20"/>
        </w:rPr>
        <w:t xml:space="preserve">The closing date for applications is </w:t>
      </w:r>
      <w:r w:rsidR="00046CFC">
        <w:rPr>
          <w:rFonts w:ascii="Arial" w:hAnsi="Arial" w:cs="Arial"/>
          <w:b/>
          <w:bCs/>
          <w:sz w:val="20"/>
          <w:szCs w:val="20"/>
          <w:u w:val="single"/>
        </w:rPr>
        <w:t>Wednesday 12 January 2022</w:t>
      </w:r>
      <w:r w:rsidR="003968E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656F3C1D" w14:textId="77777777" w:rsidR="00D754B5" w:rsidRPr="00E43C02" w:rsidRDefault="00D754B5" w:rsidP="00D02301">
      <w:pPr>
        <w:pStyle w:val="Standard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676AE65" w14:textId="77777777" w:rsidR="00D754B5" w:rsidRDefault="00D754B5" w:rsidP="00D02301">
      <w:pPr>
        <w:pStyle w:val="Standard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FBCAFC1" w14:textId="77777777" w:rsidR="00D754B5" w:rsidRPr="00E43C02" w:rsidRDefault="00D754B5" w:rsidP="00D754B5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sz w:val="12"/>
          <w:szCs w:val="12"/>
        </w:rPr>
      </w:pPr>
      <w:r w:rsidRPr="00E43C02">
        <w:rPr>
          <w:rFonts w:ascii="Arial" w:hAnsi="Arial" w:cs="Arial"/>
          <w:b/>
          <w:bCs/>
          <w:i/>
          <w:iCs/>
          <w:sz w:val="12"/>
          <w:szCs w:val="12"/>
        </w:rPr>
        <w:t>Venn Academy Trust is committed to achieving fairness and equality in employment and welcomes applications from all sections of the community.</w:t>
      </w:r>
    </w:p>
    <w:p w14:paraId="34AF8516" w14:textId="77777777" w:rsidR="00D754B5" w:rsidRPr="00E43C02" w:rsidRDefault="00D754B5" w:rsidP="00D754B5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sz w:val="12"/>
          <w:szCs w:val="12"/>
        </w:rPr>
      </w:pPr>
    </w:p>
    <w:p w14:paraId="18165DB1" w14:textId="77777777" w:rsidR="00CB0D21" w:rsidRPr="00E43C02" w:rsidRDefault="00D754B5" w:rsidP="00CB0D21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sz w:val="12"/>
          <w:szCs w:val="12"/>
        </w:rPr>
      </w:pPr>
      <w:r w:rsidRPr="00E43C02">
        <w:rPr>
          <w:rFonts w:ascii="Arial" w:hAnsi="Arial" w:cs="Arial"/>
          <w:b/>
          <w:bCs/>
          <w:i/>
          <w:iCs/>
          <w:sz w:val="12"/>
          <w:szCs w:val="12"/>
        </w:rPr>
        <w:t>Our Trust is fully committed to safeguarding and promoting the welfare of pupils and expects all staff to share this commitment.</w:t>
      </w:r>
    </w:p>
    <w:p w14:paraId="4C689967" w14:textId="77777777" w:rsidR="00412B14" w:rsidRDefault="00412B14" w:rsidP="00CB0D21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sz w:val="12"/>
          <w:szCs w:val="12"/>
        </w:rPr>
      </w:pPr>
    </w:p>
    <w:p w14:paraId="7FBB4611" w14:textId="056D47D0" w:rsidR="00EE6F39" w:rsidRPr="00E43C02" w:rsidRDefault="00D754B5" w:rsidP="00CB0D21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sz w:val="12"/>
          <w:szCs w:val="12"/>
        </w:rPr>
      </w:pPr>
      <w:r w:rsidRPr="00E43C02">
        <w:rPr>
          <w:rFonts w:ascii="Arial" w:hAnsi="Arial" w:cs="Arial"/>
          <w:b/>
          <w:bCs/>
          <w:i/>
          <w:iCs/>
          <w:sz w:val="12"/>
          <w:szCs w:val="12"/>
        </w:rPr>
        <w:t>The successful candidate will be required to undertake an Enhanced DBS check.</w:t>
      </w:r>
    </w:p>
    <w:sectPr w:rsidR="00EE6F39" w:rsidRPr="00E43C02" w:rsidSect="00EE6F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274" w:bottom="1702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85BF6" w14:textId="77777777" w:rsidR="00D42C59" w:rsidRDefault="00D42C59" w:rsidP="0064599F">
      <w:pPr>
        <w:spacing w:after="0" w:line="240" w:lineRule="auto"/>
      </w:pPr>
      <w:r>
        <w:separator/>
      </w:r>
    </w:p>
  </w:endnote>
  <w:endnote w:type="continuationSeparator" w:id="0">
    <w:p w14:paraId="1D61E3BD" w14:textId="77777777" w:rsidR="00D42C59" w:rsidRDefault="00D42C59" w:rsidP="0064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06D8" w14:textId="77777777" w:rsidR="00EE6F39" w:rsidRDefault="00EE6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EB90" w14:textId="5EC88957" w:rsidR="0064599F" w:rsidRDefault="0064599F">
    <w:pPr>
      <w:pStyle w:val="Footer"/>
    </w:pPr>
  </w:p>
  <w:tbl>
    <w:tblPr>
      <w:tblStyle w:val="TableGrid"/>
      <w:tblW w:w="0" w:type="auto"/>
      <w:tblBorders>
        <w:top w:val="single" w:sz="4" w:space="0" w:color="476559"/>
        <w:left w:val="none" w:sz="0" w:space="0" w:color="auto"/>
        <w:bottom w:val="none" w:sz="0" w:space="0" w:color="auto"/>
        <w:right w:val="none" w:sz="0" w:space="0" w:color="auto"/>
        <w:insideH w:val="single" w:sz="4" w:space="0" w:color="476559"/>
        <w:insideV w:val="single" w:sz="4" w:space="0" w:color="476559"/>
      </w:tblBorders>
      <w:tblLook w:val="04A0" w:firstRow="1" w:lastRow="0" w:firstColumn="1" w:lastColumn="0" w:noHBand="0" w:noVBand="1"/>
    </w:tblPr>
    <w:tblGrid>
      <w:gridCol w:w="998"/>
      <w:gridCol w:w="1358"/>
      <w:gridCol w:w="1322"/>
      <w:gridCol w:w="1368"/>
      <w:gridCol w:w="1547"/>
      <w:gridCol w:w="1302"/>
      <w:gridCol w:w="1131"/>
    </w:tblGrid>
    <w:tr w:rsidR="00A61225" w14:paraId="240F2C11" w14:textId="77777777" w:rsidTr="00B14C97">
      <w:trPr>
        <w:trHeight w:val="283"/>
      </w:trPr>
      <w:tc>
        <w:tcPr>
          <w:tcW w:w="998" w:type="dxa"/>
          <w:tcBorders>
            <w:top w:val="single" w:sz="12" w:space="0" w:color="476559"/>
            <w:bottom w:val="nil"/>
            <w:right w:val="nil"/>
          </w:tcBorders>
        </w:tcPr>
        <w:p w14:paraId="5FA1FCB9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58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64692C75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22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31DB69E2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68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4979D3B9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547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61BC4B21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02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0F9B128C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131" w:type="dxa"/>
          <w:tcBorders>
            <w:top w:val="single" w:sz="12" w:space="0" w:color="476559"/>
            <w:left w:val="nil"/>
            <w:bottom w:val="nil"/>
          </w:tcBorders>
        </w:tcPr>
        <w:p w14:paraId="4B234B5E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</w:tr>
    <w:tr w:rsidR="00A61225" w14:paraId="2EF42507" w14:textId="5FA7C795" w:rsidTr="00B14C97">
      <w:trPr>
        <w:trHeight w:val="170"/>
      </w:trPr>
      <w:tc>
        <w:tcPr>
          <w:tcW w:w="998" w:type="dxa"/>
          <w:tcBorders>
            <w:top w:val="nil"/>
            <w:right w:val="nil"/>
          </w:tcBorders>
        </w:tcPr>
        <w:p w14:paraId="2245751A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58" w:type="dxa"/>
          <w:tcBorders>
            <w:top w:val="nil"/>
            <w:left w:val="nil"/>
            <w:bottom w:val="nil"/>
            <w:right w:val="single" w:sz="12" w:space="0" w:color="476559"/>
          </w:tcBorders>
          <w:vAlign w:val="center"/>
        </w:tcPr>
        <w:p w14:paraId="248798B1" w14:textId="5305D83D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Pioneer</w:t>
          </w:r>
        </w:p>
      </w:tc>
      <w:tc>
        <w:tcPr>
          <w:tcW w:w="1322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00F9936C" w14:textId="4D80C5FA" w:rsidR="00A61225" w:rsidRPr="00A61225" w:rsidRDefault="00A61225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Inspire</w:t>
          </w:r>
        </w:p>
      </w:tc>
      <w:tc>
        <w:tcPr>
          <w:tcW w:w="1368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019956E7" w14:textId="21245760" w:rsidR="00A61225" w:rsidRPr="00A61225" w:rsidRDefault="00A61225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Achieve</w:t>
          </w:r>
        </w:p>
      </w:tc>
      <w:tc>
        <w:tcPr>
          <w:tcW w:w="1547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72A78607" w14:textId="7C47188B" w:rsidR="00A61225" w:rsidRPr="00A61225" w:rsidRDefault="00A61225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Collaborate</w:t>
          </w:r>
        </w:p>
      </w:tc>
      <w:tc>
        <w:tcPr>
          <w:tcW w:w="1302" w:type="dxa"/>
          <w:tcBorders>
            <w:top w:val="nil"/>
            <w:left w:val="single" w:sz="12" w:space="0" w:color="476559"/>
            <w:bottom w:val="nil"/>
            <w:right w:val="nil"/>
          </w:tcBorders>
          <w:vAlign w:val="center"/>
        </w:tcPr>
        <w:p w14:paraId="1FCDA308" w14:textId="6929A08E" w:rsidR="00A61225" w:rsidRPr="00A61225" w:rsidRDefault="00A61225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Create</w:t>
          </w:r>
        </w:p>
      </w:tc>
      <w:tc>
        <w:tcPr>
          <w:tcW w:w="1131" w:type="dxa"/>
          <w:tcBorders>
            <w:top w:val="nil"/>
            <w:left w:val="nil"/>
          </w:tcBorders>
        </w:tcPr>
        <w:p w14:paraId="42A08927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</w:tr>
  </w:tbl>
  <w:p w14:paraId="7F5C7AEC" w14:textId="18145333" w:rsidR="0064599F" w:rsidRDefault="0064599F">
    <w:pPr>
      <w:pStyle w:val="Footer"/>
    </w:pPr>
  </w:p>
  <w:p w14:paraId="423EA40E" w14:textId="77777777" w:rsidR="0064599F" w:rsidRDefault="00645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9136" w14:textId="77777777" w:rsidR="00EE6F39" w:rsidRDefault="00EE6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0E8D6" w14:textId="77777777" w:rsidR="00D42C59" w:rsidRDefault="00D42C59" w:rsidP="0064599F">
      <w:pPr>
        <w:spacing w:after="0" w:line="240" w:lineRule="auto"/>
      </w:pPr>
      <w:r>
        <w:separator/>
      </w:r>
    </w:p>
  </w:footnote>
  <w:footnote w:type="continuationSeparator" w:id="0">
    <w:p w14:paraId="7934AEB3" w14:textId="77777777" w:rsidR="00D42C59" w:rsidRDefault="00D42C59" w:rsidP="0064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AB9F" w14:textId="3DEB316D" w:rsidR="00EE6F39" w:rsidRDefault="00046CFC">
    <w:pPr>
      <w:pStyle w:val="Header"/>
    </w:pPr>
    <w:r>
      <w:rPr>
        <w:noProof/>
      </w:rPr>
      <w:pict w14:anchorId="02D40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1" o:spid="_x0000_s2050" type="#_x0000_t75" style="position:absolute;margin-left:0;margin-top:0;width:597.05pt;height:851.3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68A4C" w14:textId="1A685C46" w:rsidR="00B14C97" w:rsidRPr="00B14C97" w:rsidRDefault="00046CFC" w:rsidP="00EE6F39">
    <w:pPr>
      <w:pStyle w:val="Header"/>
      <w:tabs>
        <w:tab w:val="clear" w:pos="4513"/>
        <w:tab w:val="clear" w:pos="9026"/>
        <w:tab w:val="right" w:pos="-426"/>
      </w:tabs>
      <w:ind w:left="-426" w:right="-22"/>
      <w:jc w:val="right"/>
      <w:rPr>
        <w:rFonts w:ascii="Sabon Next LT" w:hAnsi="Sabon Next LT" w:cs="Sabon Next LT"/>
        <w:noProof/>
        <w:color w:val="476559"/>
      </w:rPr>
    </w:pPr>
    <w:r>
      <w:rPr>
        <w:noProof/>
      </w:rPr>
      <w:pict w14:anchorId="30A8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2" o:spid="_x0000_s2051" type="#_x0000_t75" style="position:absolute;left:0;text-align:left;margin-left:0;margin-top:0;width:597.05pt;height:851.3pt;z-index:-25165516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B14C97">
      <w:rPr>
        <w:noProof/>
      </w:rPr>
      <w:drawing>
        <wp:anchor distT="0" distB="0" distL="114300" distR="114300" simplePos="0" relativeHeight="251658240" behindDoc="0" locked="0" layoutInCell="1" allowOverlap="1" wp14:anchorId="199969E3" wp14:editId="23DE350A">
          <wp:simplePos x="0" y="0"/>
          <wp:positionH relativeFrom="column">
            <wp:posOffset>-405047</wp:posOffset>
          </wp:positionH>
          <wp:positionV relativeFrom="page">
            <wp:posOffset>421170</wp:posOffset>
          </wp:positionV>
          <wp:extent cx="1071245" cy="118427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4C97">
      <w:rPr>
        <w:noProof/>
      </w:rPr>
      <w:ptab w:relativeTo="margin" w:alignment="center" w:leader="none"/>
    </w:r>
    <w:r w:rsidR="00B14C97" w:rsidRPr="00B14C97">
      <w:t xml:space="preserve"> </w:t>
    </w:r>
    <w:r w:rsidR="00B14C97" w:rsidRPr="00B14C97">
      <w:rPr>
        <w:rFonts w:ascii="Sabon Next LT" w:hAnsi="Sabon Next LT" w:cs="Sabon Next LT"/>
        <w:noProof/>
        <w:color w:val="476559"/>
      </w:rPr>
      <w:t>Venn Academy Trust</w:t>
    </w:r>
  </w:p>
  <w:p w14:paraId="1C646D3D" w14:textId="4710420F" w:rsidR="00B14C97" w:rsidRPr="00B14C97" w:rsidRDefault="00B14C97" w:rsidP="00B14C97">
    <w:pPr>
      <w:pStyle w:val="Header"/>
      <w:tabs>
        <w:tab w:val="center" w:pos="-426"/>
      </w:tabs>
      <w:ind w:left="-426"/>
      <w:jc w:val="right"/>
      <w:rPr>
        <w:rFonts w:ascii="Sabon Next LT" w:hAnsi="Sabon Next LT" w:cs="Sabon Next LT"/>
        <w:noProof/>
        <w:color w:val="476559"/>
      </w:rPr>
    </w:pPr>
    <w:r w:rsidRPr="00B14C97">
      <w:rPr>
        <w:rFonts w:ascii="Sabon Next LT" w:hAnsi="Sabon Next LT" w:cs="Sabon Next LT"/>
        <w:noProof/>
        <w:color w:val="476559"/>
      </w:rPr>
      <w:t>The Venn Building</w:t>
    </w:r>
  </w:p>
  <w:p w14:paraId="53BF78A7" w14:textId="6F60E42A" w:rsidR="00B14C97" w:rsidRPr="00B14C97" w:rsidRDefault="00B14C97" w:rsidP="00B14C97">
    <w:pPr>
      <w:pStyle w:val="Header"/>
      <w:tabs>
        <w:tab w:val="center" w:pos="-426"/>
      </w:tabs>
      <w:ind w:left="-426"/>
      <w:jc w:val="right"/>
      <w:rPr>
        <w:rFonts w:ascii="Sabon Next LT" w:hAnsi="Sabon Next LT" w:cs="Sabon Next LT"/>
        <w:noProof/>
        <w:color w:val="476559"/>
      </w:rPr>
    </w:pPr>
    <w:r w:rsidRPr="00B14C97">
      <w:rPr>
        <w:rFonts w:ascii="Sabon Next LT" w:hAnsi="Sabon Next LT" w:cs="Sabon Next LT"/>
        <w:noProof/>
        <w:color w:val="476559"/>
      </w:rPr>
      <w:t>172 The Boulevard</w:t>
    </w:r>
  </w:p>
  <w:p w14:paraId="7384810C" w14:textId="733DD9BA" w:rsidR="00B14C97" w:rsidRPr="00B14C97" w:rsidRDefault="00B14C97" w:rsidP="00B14C97">
    <w:pPr>
      <w:pStyle w:val="Header"/>
      <w:tabs>
        <w:tab w:val="center" w:pos="-426"/>
      </w:tabs>
      <w:ind w:left="-426"/>
      <w:jc w:val="right"/>
      <w:rPr>
        <w:rFonts w:ascii="Sabon Next LT" w:hAnsi="Sabon Next LT" w:cs="Sabon Next LT"/>
        <w:noProof/>
        <w:color w:val="476559"/>
      </w:rPr>
    </w:pPr>
    <w:r w:rsidRPr="00B14C97">
      <w:rPr>
        <w:rFonts w:ascii="Sabon Next LT" w:hAnsi="Sabon Next LT" w:cs="Sabon Next LT"/>
        <w:noProof/>
        <w:color w:val="476559"/>
      </w:rPr>
      <w:t>Hull, HU3 3EL</w:t>
    </w:r>
  </w:p>
  <w:p w14:paraId="3D579628" w14:textId="77777777" w:rsidR="00B14C97" w:rsidRPr="00B14C97" w:rsidRDefault="00B14C97" w:rsidP="00B14C97">
    <w:pPr>
      <w:pStyle w:val="Header"/>
      <w:tabs>
        <w:tab w:val="center" w:pos="-426"/>
      </w:tabs>
      <w:ind w:left="-426"/>
      <w:jc w:val="right"/>
      <w:rPr>
        <w:rFonts w:ascii="Sabon Next LT" w:hAnsi="Sabon Next LT" w:cs="Sabon Next LT"/>
        <w:noProof/>
        <w:color w:val="476559"/>
      </w:rPr>
    </w:pPr>
  </w:p>
  <w:p w14:paraId="64284C7A" w14:textId="77777777" w:rsidR="00B14C97" w:rsidRPr="00B14C97" w:rsidRDefault="00B14C97" w:rsidP="00B14C97">
    <w:pPr>
      <w:pStyle w:val="Header"/>
      <w:tabs>
        <w:tab w:val="center" w:pos="-426"/>
      </w:tabs>
      <w:ind w:left="-426"/>
      <w:jc w:val="right"/>
      <w:rPr>
        <w:rFonts w:ascii="Sabon Next LT" w:hAnsi="Sabon Next LT" w:cs="Sabon Next LT"/>
        <w:noProof/>
        <w:color w:val="476559"/>
      </w:rPr>
    </w:pPr>
    <w:r w:rsidRPr="00B14C97">
      <w:rPr>
        <w:rFonts w:ascii="Sabon Next LT" w:hAnsi="Sabon Next LT" w:cs="Sabon Next LT"/>
        <w:noProof/>
        <w:color w:val="476559"/>
      </w:rPr>
      <w:t>01482 505030</w:t>
    </w:r>
  </w:p>
  <w:p w14:paraId="790ADD40" w14:textId="77777777" w:rsidR="00B14C97" w:rsidRPr="00B14C97" w:rsidRDefault="00B14C97" w:rsidP="00B14C97">
    <w:pPr>
      <w:pStyle w:val="Header"/>
      <w:tabs>
        <w:tab w:val="center" w:pos="-426"/>
      </w:tabs>
      <w:ind w:left="-426"/>
      <w:jc w:val="right"/>
      <w:rPr>
        <w:rFonts w:ascii="Sabon Next LT" w:hAnsi="Sabon Next LT" w:cs="Sabon Next LT"/>
        <w:noProof/>
        <w:color w:val="476559"/>
      </w:rPr>
    </w:pPr>
    <w:r w:rsidRPr="00B14C97">
      <w:rPr>
        <w:rFonts w:ascii="Sabon Next LT" w:hAnsi="Sabon Next LT" w:cs="Sabon Next LT"/>
        <w:noProof/>
        <w:color w:val="476559"/>
      </w:rPr>
      <w:t>info@vennacademytrust.org</w:t>
    </w:r>
  </w:p>
  <w:p w14:paraId="2C2CD1FF" w14:textId="39F43A7E" w:rsidR="00B14C97" w:rsidRPr="00B14C97" w:rsidRDefault="00B14C97" w:rsidP="00B14C97">
    <w:pPr>
      <w:pStyle w:val="Header"/>
      <w:tabs>
        <w:tab w:val="clear" w:pos="4513"/>
        <w:tab w:val="center" w:pos="-426"/>
      </w:tabs>
      <w:ind w:left="-426"/>
      <w:jc w:val="right"/>
      <w:rPr>
        <w:rFonts w:ascii="Sabon Next LT" w:hAnsi="Sabon Next LT" w:cs="Sabon Next LT"/>
        <w:color w:val="476559"/>
      </w:rPr>
    </w:pPr>
    <w:r w:rsidRPr="00B14C97">
      <w:rPr>
        <w:rFonts w:ascii="Sabon Next LT" w:hAnsi="Sabon Next LT" w:cs="Sabon Next LT"/>
        <w:noProof/>
        <w:color w:val="476559"/>
      </w:rPr>
      <w:t>vennacademy.org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6494" w14:textId="16538343" w:rsidR="00EE6F39" w:rsidRDefault="00046CFC">
    <w:pPr>
      <w:pStyle w:val="Header"/>
    </w:pPr>
    <w:r>
      <w:rPr>
        <w:noProof/>
      </w:rPr>
      <w:pict w14:anchorId="1CDF4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0" o:spid="_x0000_s2049" type="#_x0000_t75" style="position:absolute;margin-left:0;margin-top:0;width:597.05pt;height:851.3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9F"/>
    <w:rsid w:val="00046CFC"/>
    <w:rsid w:val="001C3473"/>
    <w:rsid w:val="002478B1"/>
    <w:rsid w:val="002B0D51"/>
    <w:rsid w:val="003968EF"/>
    <w:rsid w:val="003C5186"/>
    <w:rsid w:val="0040168F"/>
    <w:rsid w:val="00412B14"/>
    <w:rsid w:val="00440F98"/>
    <w:rsid w:val="004F4F26"/>
    <w:rsid w:val="00573482"/>
    <w:rsid w:val="00573628"/>
    <w:rsid w:val="006410EF"/>
    <w:rsid w:val="0064599F"/>
    <w:rsid w:val="00675FA6"/>
    <w:rsid w:val="006B2C01"/>
    <w:rsid w:val="006F7D87"/>
    <w:rsid w:val="00740E49"/>
    <w:rsid w:val="00A24CB6"/>
    <w:rsid w:val="00A61225"/>
    <w:rsid w:val="00B14C97"/>
    <w:rsid w:val="00C2790E"/>
    <w:rsid w:val="00CB0D21"/>
    <w:rsid w:val="00D02301"/>
    <w:rsid w:val="00D2673F"/>
    <w:rsid w:val="00D42C59"/>
    <w:rsid w:val="00D754B5"/>
    <w:rsid w:val="00E43C02"/>
    <w:rsid w:val="00EE6F39"/>
    <w:rsid w:val="00FA6EA5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30BB11"/>
  <w15:chartTrackingRefBased/>
  <w15:docId w15:val="{7F429A28-9071-4375-909F-3081F998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9F"/>
  </w:style>
  <w:style w:type="paragraph" w:styleId="Footer">
    <w:name w:val="footer"/>
    <w:basedOn w:val="Normal"/>
    <w:link w:val="FooterChar"/>
    <w:uiPriority w:val="99"/>
    <w:unhideWhenUsed/>
    <w:rsid w:val="00645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9F"/>
  </w:style>
  <w:style w:type="table" w:styleId="TableGrid">
    <w:name w:val="Table Grid"/>
    <w:basedOn w:val="TableNormal"/>
    <w:uiPriority w:val="39"/>
    <w:rsid w:val="0064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54B5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  <w:lang w:eastAsia="en-GB"/>
    </w:rPr>
  </w:style>
  <w:style w:type="paragraph" w:styleId="NormalWeb">
    <w:name w:val="Normal (Web)"/>
    <w:basedOn w:val="Normal"/>
    <w:uiPriority w:val="99"/>
    <w:unhideWhenUsed/>
    <w:rsid w:val="00D7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96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laire.goodaire@vennacademy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2708916A8DC4A973F48F9F3D66004" ma:contentTypeVersion="14" ma:contentTypeDescription="Create a new document." ma:contentTypeScope="" ma:versionID="25c41d5a4f0260d82978e08f4766d37a">
  <xsd:schema xmlns:xsd="http://www.w3.org/2001/XMLSchema" xmlns:xs="http://www.w3.org/2001/XMLSchema" xmlns:p="http://schemas.microsoft.com/office/2006/metadata/properties" xmlns:ns3="dcd27359-2bd3-415b-a4e1-7958e72ce8c9" xmlns:ns4="847c7d10-a0e6-40b7-9cc0-ed2950e3196c" targetNamespace="http://schemas.microsoft.com/office/2006/metadata/properties" ma:root="true" ma:fieldsID="a83dbdbb0c96377ea35855849b83e46d" ns3:_="" ns4:_="">
    <xsd:import namespace="dcd27359-2bd3-415b-a4e1-7958e72ce8c9"/>
    <xsd:import namespace="847c7d10-a0e6-40b7-9cc0-ed2950e31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27359-2bd3-415b-a4e1-7958e72ce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c7d10-a0e6-40b7-9cc0-ed2950e31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C34AD-32BB-42EE-8234-6BB893A5EC9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7c7d10-a0e6-40b7-9cc0-ed2950e3196c"/>
    <ds:schemaRef ds:uri="http://purl.org/dc/elements/1.1/"/>
    <ds:schemaRef ds:uri="dcd27359-2bd3-415b-a4e1-7958e72ce8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0A0FD9-99E8-4D95-BA8A-9D6979CAA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27359-2bd3-415b-a4e1-7958e72ce8c9"/>
    <ds:schemaRef ds:uri="847c7d10-a0e6-40b7-9cc0-ed2950e31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04744-70E8-440A-96CA-4DAB7C81C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Bennett</dc:creator>
  <cp:keywords/>
  <dc:description/>
  <cp:lastModifiedBy>Lynsey Cook</cp:lastModifiedBy>
  <cp:revision>3</cp:revision>
  <cp:lastPrinted>2020-12-03T11:17:00Z</cp:lastPrinted>
  <dcterms:created xsi:type="dcterms:W3CDTF">2021-11-15T13:42:00Z</dcterms:created>
  <dcterms:modified xsi:type="dcterms:W3CDTF">2021-11-15T13:42:00Z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0x0101006C02708916A8DC4A973F48F9F3D66004</vt:lpwstr>
  </property>
</Properties>
</file>