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18CA" w14:textId="77777777" w:rsidR="00475701" w:rsidRPr="00B90C1D" w:rsidRDefault="00475701" w:rsidP="004757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0C1D">
        <w:rPr>
          <w:rFonts w:asciiTheme="minorHAnsi" w:hAnsiTheme="minorHAnsi" w:cstheme="minorHAnsi"/>
          <w:b/>
          <w:sz w:val="28"/>
          <w:szCs w:val="28"/>
        </w:rPr>
        <w:t>Assistant Principal</w:t>
      </w:r>
    </w:p>
    <w:p w14:paraId="774EE023" w14:textId="77777777" w:rsidR="00475701" w:rsidRPr="00B90C1D" w:rsidRDefault="00475701" w:rsidP="0047570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B90C1D">
        <w:rPr>
          <w:rFonts w:cstheme="minorHAnsi"/>
          <w:b/>
          <w:sz w:val="28"/>
          <w:szCs w:val="28"/>
        </w:rPr>
        <w:t>Person Specification</w:t>
      </w:r>
    </w:p>
    <w:p w14:paraId="27F987FE" w14:textId="77777777" w:rsidR="00475701" w:rsidRPr="00B90C1D" w:rsidRDefault="00475701" w:rsidP="00475701">
      <w:pPr>
        <w:pStyle w:val="NoSpacing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7"/>
        <w:gridCol w:w="1340"/>
        <w:gridCol w:w="1519"/>
      </w:tblGrid>
      <w:tr w:rsidR="00475701" w:rsidRPr="00B90C1D" w14:paraId="23FA7AD8" w14:textId="77777777" w:rsidTr="00BF715D">
        <w:tc>
          <w:tcPr>
            <w:tcW w:w="3532" w:type="pct"/>
            <w:shd w:val="clear" w:color="auto" w:fill="auto"/>
          </w:tcPr>
          <w:p w14:paraId="2AE2D6B1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/>
          </w:tcPr>
          <w:p w14:paraId="5B531FB6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780" w:type="pct"/>
            <w:shd w:val="clear" w:color="auto" w:fill="D9D9D9"/>
          </w:tcPr>
          <w:p w14:paraId="1EF47A09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475701" w:rsidRPr="00B90C1D" w14:paraId="620210D6" w14:textId="77777777" w:rsidTr="00BF715D">
        <w:tc>
          <w:tcPr>
            <w:tcW w:w="5000" w:type="pct"/>
            <w:gridSpan w:val="3"/>
            <w:shd w:val="clear" w:color="auto" w:fill="D9D9D9"/>
          </w:tcPr>
          <w:p w14:paraId="5B47868F" w14:textId="77777777" w:rsidR="00475701" w:rsidRPr="00B90C1D" w:rsidRDefault="00475701" w:rsidP="00BF71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Qualifications and Experience</w:t>
            </w:r>
          </w:p>
        </w:tc>
      </w:tr>
      <w:tr w:rsidR="00475701" w:rsidRPr="00B90C1D" w14:paraId="54E1F2D2" w14:textId="77777777" w:rsidTr="00BF715D">
        <w:tc>
          <w:tcPr>
            <w:tcW w:w="3532" w:type="pct"/>
            <w:shd w:val="clear" w:color="auto" w:fill="auto"/>
          </w:tcPr>
          <w:p w14:paraId="044CC95F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DfE recognised teaching qualification (QTS)</w:t>
            </w:r>
          </w:p>
        </w:tc>
        <w:tc>
          <w:tcPr>
            <w:tcW w:w="688" w:type="pct"/>
            <w:shd w:val="clear" w:color="auto" w:fill="auto"/>
          </w:tcPr>
          <w:p w14:paraId="10D5FD02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7C57F1B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7CE89538" w14:textId="77777777" w:rsidTr="00BF715D">
        <w:tc>
          <w:tcPr>
            <w:tcW w:w="3532" w:type="pct"/>
            <w:shd w:val="clear" w:color="auto" w:fill="auto"/>
          </w:tcPr>
          <w:p w14:paraId="7B2D323C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Substantial,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recent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and successful experience of teaching in Primary</w:t>
            </w:r>
          </w:p>
        </w:tc>
        <w:tc>
          <w:tcPr>
            <w:tcW w:w="688" w:type="pct"/>
            <w:shd w:val="clear" w:color="auto" w:fill="auto"/>
          </w:tcPr>
          <w:p w14:paraId="0FED20BC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170D865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EB227F9" w14:textId="77777777" w:rsidTr="00BF715D">
        <w:tc>
          <w:tcPr>
            <w:tcW w:w="3532" w:type="pct"/>
            <w:shd w:val="clear" w:color="auto" w:fill="auto"/>
          </w:tcPr>
          <w:p w14:paraId="01B173B8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Experience of teaching across key stages and in other academies and other educational establishments</w:t>
            </w:r>
          </w:p>
        </w:tc>
        <w:tc>
          <w:tcPr>
            <w:tcW w:w="688" w:type="pct"/>
            <w:shd w:val="clear" w:color="auto" w:fill="auto"/>
          </w:tcPr>
          <w:p w14:paraId="0FB0FC64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14:paraId="13CF31B2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475701" w:rsidRPr="00B90C1D" w14:paraId="1D1A98A1" w14:textId="77777777" w:rsidTr="00BF715D">
        <w:tc>
          <w:tcPr>
            <w:tcW w:w="3532" w:type="pct"/>
            <w:shd w:val="clear" w:color="auto" w:fill="auto"/>
          </w:tcPr>
          <w:p w14:paraId="63B438AC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Understanding of the issues presented in a multi-cultural academy</w:t>
            </w:r>
          </w:p>
        </w:tc>
        <w:tc>
          <w:tcPr>
            <w:tcW w:w="688" w:type="pct"/>
            <w:shd w:val="clear" w:color="auto" w:fill="auto"/>
          </w:tcPr>
          <w:p w14:paraId="13EF07B0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54069F50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7EA99803" w14:textId="77777777" w:rsidTr="00BF715D">
        <w:tc>
          <w:tcPr>
            <w:tcW w:w="3532" w:type="pct"/>
            <w:shd w:val="clear" w:color="auto" w:fill="auto"/>
          </w:tcPr>
          <w:p w14:paraId="205E26CA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Recent responsibilities in leadership and management</w:t>
            </w:r>
          </w:p>
        </w:tc>
        <w:tc>
          <w:tcPr>
            <w:tcW w:w="688" w:type="pct"/>
            <w:shd w:val="clear" w:color="auto" w:fill="auto"/>
          </w:tcPr>
          <w:p w14:paraId="5702E61A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254261AB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780A9E07" w14:textId="77777777" w:rsidTr="00BF715D">
        <w:tc>
          <w:tcPr>
            <w:tcW w:w="3532" w:type="pct"/>
            <w:shd w:val="clear" w:color="auto" w:fill="auto"/>
          </w:tcPr>
          <w:p w14:paraId="4B39A273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A range of leadership experiences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year team, phase, curriculum</w:t>
            </w:r>
          </w:p>
        </w:tc>
        <w:tc>
          <w:tcPr>
            <w:tcW w:w="688" w:type="pct"/>
            <w:shd w:val="clear" w:color="auto" w:fill="auto"/>
          </w:tcPr>
          <w:p w14:paraId="7D19FD40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69157A88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386F3EB8" w14:textId="77777777" w:rsidTr="00BF715D">
        <w:tc>
          <w:tcPr>
            <w:tcW w:w="3532" w:type="pct"/>
            <w:shd w:val="clear" w:color="auto" w:fill="auto"/>
          </w:tcPr>
          <w:p w14:paraId="4A5D5E97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Involvement in academy development and improvement planning</w:t>
            </w:r>
          </w:p>
        </w:tc>
        <w:tc>
          <w:tcPr>
            <w:tcW w:w="688" w:type="pct"/>
            <w:shd w:val="clear" w:color="auto" w:fill="auto"/>
          </w:tcPr>
          <w:p w14:paraId="7B029DF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2E7422F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647602CE" w14:textId="77777777" w:rsidTr="00BF715D">
        <w:tc>
          <w:tcPr>
            <w:tcW w:w="3532" w:type="pct"/>
            <w:shd w:val="clear" w:color="auto" w:fill="auto"/>
          </w:tcPr>
          <w:p w14:paraId="1EC5E785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Experience of observing lessons and feeding back to teachers and/ or support staff</w:t>
            </w:r>
          </w:p>
        </w:tc>
        <w:tc>
          <w:tcPr>
            <w:tcW w:w="688" w:type="pct"/>
            <w:shd w:val="clear" w:color="auto" w:fill="auto"/>
          </w:tcPr>
          <w:p w14:paraId="294FA884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7000A991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27BDC180" w14:textId="77777777" w:rsidTr="00BF715D">
        <w:tc>
          <w:tcPr>
            <w:tcW w:w="3532" w:type="pct"/>
            <w:shd w:val="clear" w:color="auto" w:fill="auto"/>
          </w:tcPr>
          <w:p w14:paraId="1E567EAA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Use of tracking and data analysis</w:t>
            </w:r>
          </w:p>
        </w:tc>
        <w:tc>
          <w:tcPr>
            <w:tcW w:w="688" w:type="pct"/>
            <w:shd w:val="clear" w:color="auto" w:fill="auto"/>
          </w:tcPr>
          <w:p w14:paraId="774613D3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56737E36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057E3D1" w14:textId="77777777" w:rsidTr="00BF715D">
        <w:tc>
          <w:tcPr>
            <w:tcW w:w="3532" w:type="pct"/>
            <w:shd w:val="clear" w:color="auto" w:fill="auto"/>
          </w:tcPr>
          <w:p w14:paraId="35B503D9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Leading staff training and development activities</w:t>
            </w:r>
          </w:p>
        </w:tc>
        <w:tc>
          <w:tcPr>
            <w:tcW w:w="688" w:type="pct"/>
            <w:shd w:val="clear" w:color="auto" w:fill="auto"/>
          </w:tcPr>
          <w:p w14:paraId="7C616615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3F96340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41DCBBD3" w14:textId="77777777" w:rsidTr="00BF715D">
        <w:tc>
          <w:tcPr>
            <w:tcW w:w="3532" w:type="pct"/>
            <w:shd w:val="clear" w:color="auto" w:fill="auto"/>
          </w:tcPr>
          <w:p w14:paraId="46CB7D86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Involvement in the appointment,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induction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and appraisal of staff</w:t>
            </w:r>
          </w:p>
        </w:tc>
        <w:tc>
          <w:tcPr>
            <w:tcW w:w="688" w:type="pct"/>
            <w:shd w:val="clear" w:color="auto" w:fill="auto"/>
          </w:tcPr>
          <w:p w14:paraId="079B6B28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14:paraId="706A877D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475701" w:rsidRPr="00B90C1D" w14:paraId="5C6ECAF1" w14:textId="77777777" w:rsidTr="00BF715D">
        <w:tc>
          <w:tcPr>
            <w:tcW w:w="3532" w:type="pct"/>
            <w:shd w:val="clear" w:color="auto" w:fill="auto"/>
          </w:tcPr>
          <w:p w14:paraId="4C1E5968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Working with parents and families to secure good outcomes for pupils</w:t>
            </w:r>
          </w:p>
        </w:tc>
        <w:tc>
          <w:tcPr>
            <w:tcW w:w="688" w:type="pct"/>
            <w:shd w:val="clear" w:color="auto" w:fill="auto"/>
          </w:tcPr>
          <w:p w14:paraId="4358B6C2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3D68115C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4BD" w:rsidRPr="00B90C1D" w14:paraId="1E2CFE2C" w14:textId="77777777" w:rsidTr="00BF715D">
        <w:tc>
          <w:tcPr>
            <w:tcW w:w="3532" w:type="pct"/>
            <w:shd w:val="clear" w:color="auto" w:fill="auto"/>
          </w:tcPr>
          <w:p w14:paraId="642A2980" w14:textId="132F5562" w:rsidR="003A34BD" w:rsidRPr="00B90C1D" w:rsidRDefault="003A34BD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experience in Year 6</w:t>
            </w:r>
          </w:p>
        </w:tc>
        <w:tc>
          <w:tcPr>
            <w:tcW w:w="688" w:type="pct"/>
            <w:shd w:val="clear" w:color="auto" w:fill="auto"/>
          </w:tcPr>
          <w:p w14:paraId="40870D8F" w14:textId="77777777" w:rsidR="003A34BD" w:rsidRPr="00B90C1D" w:rsidRDefault="003A34BD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14:paraId="181FFCAC" w14:textId="721DFF3F" w:rsidR="003A34BD" w:rsidRPr="00B90C1D" w:rsidRDefault="003A34BD" w:rsidP="003A34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475701" w:rsidRPr="00B90C1D" w14:paraId="47DB8F33" w14:textId="77777777" w:rsidTr="00BF715D">
        <w:tc>
          <w:tcPr>
            <w:tcW w:w="3532" w:type="pct"/>
            <w:shd w:val="clear" w:color="auto" w:fill="D9D9D9"/>
          </w:tcPr>
          <w:p w14:paraId="216C5532" w14:textId="77777777" w:rsidR="00475701" w:rsidRPr="00B90C1D" w:rsidRDefault="00475701" w:rsidP="00BF71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Professional Knowledge and Skills </w:t>
            </w:r>
          </w:p>
        </w:tc>
        <w:tc>
          <w:tcPr>
            <w:tcW w:w="688" w:type="pct"/>
            <w:shd w:val="clear" w:color="auto" w:fill="auto"/>
          </w:tcPr>
          <w:p w14:paraId="540D2A3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14:paraId="181A6684" w14:textId="77777777" w:rsidR="00475701" w:rsidRPr="00B90C1D" w:rsidRDefault="00475701" w:rsidP="00BF71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51FB8AEA" w14:textId="77777777" w:rsidTr="00BF715D">
        <w:tc>
          <w:tcPr>
            <w:tcW w:w="3532" w:type="pct"/>
            <w:shd w:val="clear" w:color="auto" w:fill="auto"/>
          </w:tcPr>
          <w:p w14:paraId="4D1168AD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Commitment to and ability to support the academy community</w:t>
            </w:r>
          </w:p>
        </w:tc>
        <w:tc>
          <w:tcPr>
            <w:tcW w:w="688" w:type="pct"/>
            <w:shd w:val="clear" w:color="auto" w:fill="auto"/>
          </w:tcPr>
          <w:p w14:paraId="2FE983D3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2C72FA5D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48402109" w14:textId="77777777" w:rsidTr="00BF715D">
        <w:tc>
          <w:tcPr>
            <w:tcW w:w="3532" w:type="pct"/>
            <w:shd w:val="clear" w:color="auto" w:fill="auto"/>
          </w:tcPr>
          <w:p w14:paraId="3A0D17A3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Commitment to the highest quality of achievement, teaching and learning, behaviour and safety and leadership and management</w:t>
            </w:r>
          </w:p>
        </w:tc>
        <w:tc>
          <w:tcPr>
            <w:tcW w:w="688" w:type="pct"/>
            <w:shd w:val="clear" w:color="auto" w:fill="auto"/>
          </w:tcPr>
          <w:p w14:paraId="23509FE2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67126882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A4A7723" w14:textId="77777777" w:rsidTr="00BF715D">
        <w:tc>
          <w:tcPr>
            <w:tcW w:w="3532" w:type="pct"/>
            <w:shd w:val="clear" w:color="auto" w:fill="auto"/>
          </w:tcPr>
          <w:p w14:paraId="5F403FFE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Excellent knowledge and understanding of teaching and learning</w:t>
            </w:r>
          </w:p>
        </w:tc>
        <w:tc>
          <w:tcPr>
            <w:tcW w:w="688" w:type="pct"/>
            <w:shd w:val="clear" w:color="auto" w:fill="auto"/>
          </w:tcPr>
          <w:p w14:paraId="3EE3D86D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45F2AFA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2C07F77A" w14:textId="77777777" w:rsidTr="00BF715D">
        <w:tc>
          <w:tcPr>
            <w:tcW w:w="3532" w:type="pct"/>
            <w:shd w:val="clear" w:color="auto" w:fill="auto"/>
          </w:tcPr>
          <w:p w14:paraId="65C933C8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Knowledge and understanding of children’s social, emotional,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intellectual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and physical development and a clear understanding of pupils’ additional needs</w:t>
            </w:r>
          </w:p>
        </w:tc>
        <w:tc>
          <w:tcPr>
            <w:tcW w:w="688" w:type="pct"/>
            <w:shd w:val="clear" w:color="auto" w:fill="auto"/>
          </w:tcPr>
          <w:p w14:paraId="72D47717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5BE99BB9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DE74A08" w14:textId="77777777" w:rsidTr="00BF715D">
        <w:tc>
          <w:tcPr>
            <w:tcW w:w="3532" w:type="pct"/>
            <w:shd w:val="clear" w:color="auto" w:fill="auto"/>
          </w:tcPr>
          <w:p w14:paraId="48ADD30B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Evidence of the ability to plan, teach and assess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in order to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promote good/accelerated pupil progress, appropriate to different pupils’ needs</w:t>
            </w:r>
          </w:p>
        </w:tc>
        <w:tc>
          <w:tcPr>
            <w:tcW w:w="688" w:type="pct"/>
            <w:shd w:val="clear" w:color="auto" w:fill="auto"/>
          </w:tcPr>
          <w:p w14:paraId="4F863106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6A139FD3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7B1A806" w14:textId="77777777" w:rsidTr="00BF715D">
        <w:tc>
          <w:tcPr>
            <w:tcW w:w="3532" w:type="pct"/>
            <w:shd w:val="clear" w:color="auto" w:fill="auto"/>
          </w:tcPr>
          <w:p w14:paraId="7D0FC95A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Able to read and use data and to use a range of sources of evidence to make judgements and identify next steps </w:t>
            </w:r>
          </w:p>
        </w:tc>
        <w:tc>
          <w:tcPr>
            <w:tcW w:w="688" w:type="pct"/>
            <w:shd w:val="clear" w:color="auto" w:fill="auto"/>
          </w:tcPr>
          <w:p w14:paraId="61AC8797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32DA9C79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7643E65A" w14:textId="77777777" w:rsidTr="00BF715D">
        <w:tc>
          <w:tcPr>
            <w:tcW w:w="3532" w:type="pct"/>
            <w:shd w:val="clear" w:color="auto" w:fill="auto"/>
          </w:tcPr>
          <w:p w14:paraId="4587AE65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Excellent knowledge and understanding of a range of behaviour management strategies</w:t>
            </w:r>
          </w:p>
        </w:tc>
        <w:tc>
          <w:tcPr>
            <w:tcW w:w="688" w:type="pct"/>
            <w:shd w:val="clear" w:color="auto" w:fill="auto"/>
          </w:tcPr>
          <w:p w14:paraId="013A25B9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2EC5D332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5D07D313" w14:textId="77777777" w:rsidTr="00BF715D">
        <w:tc>
          <w:tcPr>
            <w:tcW w:w="3532" w:type="pct"/>
            <w:shd w:val="clear" w:color="auto" w:fill="auto"/>
          </w:tcPr>
          <w:p w14:paraId="25E8F116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Thorough knowledge of the primary academy curriculum and recent developments in education</w:t>
            </w:r>
          </w:p>
        </w:tc>
        <w:tc>
          <w:tcPr>
            <w:tcW w:w="688" w:type="pct"/>
            <w:shd w:val="clear" w:color="auto" w:fill="auto"/>
          </w:tcPr>
          <w:p w14:paraId="7475A7E4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60B6B9EE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1F71F87F" w14:textId="77777777" w:rsidTr="00BF715D">
        <w:tc>
          <w:tcPr>
            <w:tcW w:w="3532" w:type="pct"/>
            <w:shd w:val="clear" w:color="auto" w:fill="auto"/>
          </w:tcPr>
          <w:p w14:paraId="10396429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Evidence of the ability to work alongside colleagues to motivate and move them on in their practice</w:t>
            </w:r>
          </w:p>
        </w:tc>
        <w:tc>
          <w:tcPr>
            <w:tcW w:w="688" w:type="pct"/>
            <w:shd w:val="clear" w:color="auto" w:fill="auto"/>
          </w:tcPr>
          <w:p w14:paraId="04C42DB9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751AC7DA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732B203F" w14:textId="77777777" w:rsidTr="00BF715D">
        <w:tc>
          <w:tcPr>
            <w:tcW w:w="3532" w:type="pct"/>
            <w:shd w:val="clear" w:color="auto" w:fill="auto"/>
          </w:tcPr>
          <w:p w14:paraId="7256F52D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Excellent ICT skills</w:t>
            </w:r>
          </w:p>
        </w:tc>
        <w:tc>
          <w:tcPr>
            <w:tcW w:w="688" w:type="pct"/>
            <w:shd w:val="clear" w:color="auto" w:fill="auto"/>
          </w:tcPr>
          <w:p w14:paraId="0D08C5C6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2497EB50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6668DFEB" w14:textId="77777777" w:rsidTr="00BF715D">
        <w:tc>
          <w:tcPr>
            <w:tcW w:w="5000" w:type="pct"/>
            <w:gridSpan w:val="3"/>
            <w:shd w:val="clear" w:color="auto" w:fill="D9D9D9"/>
          </w:tcPr>
          <w:p w14:paraId="5880F5F7" w14:textId="77777777" w:rsidR="00475701" w:rsidRPr="00B90C1D" w:rsidRDefault="00475701" w:rsidP="00BF71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Personal Qualities </w:t>
            </w:r>
          </w:p>
        </w:tc>
      </w:tr>
      <w:tr w:rsidR="00475701" w:rsidRPr="00B90C1D" w14:paraId="300DE689" w14:textId="77777777" w:rsidTr="00BF715D">
        <w:tc>
          <w:tcPr>
            <w:tcW w:w="3532" w:type="pct"/>
            <w:shd w:val="clear" w:color="auto" w:fill="auto"/>
          </w:tcPr>
          <w:p w14:paraId="60631662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Drive, energy,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enthusiasm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and ambition for the academy</w:t>
            </w:r>
          </w:p>
        </w:tc>
        <w:tc>
          <w:tcPr>
            <w:tcW w:w="688" w:type="pct"/>
            <w:shd w:val="clear" w:color="auto" w:fill="auto"/>
          </w:tcPr>
          <w:p w14:paraId="545E898A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49CF481A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1714169C" w14:textId="77777777" w:rsidTr="00BF715D">
        <w:tc>
          <w:tcPr>
            <w:tcW w:w="3532" w:type="pct"/>
            <w:shd w:val="clear" w:color="auto" w:fill="auto"/>
          </w:tcPr>
          <w:p w14:paraId="2051EE7D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Ability to inspire and motivate others,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treating them with respect at all times</w:t>
            </w:r>
            <w:proofErr w:type="gramEnd"/>
          </w:p>
        </w:tc>
        <w:tc>
          <w:tcPr>
            <w:tcW w:w="688" w:type="pct"/>
            <w:shd w:val="clear" w:color="auto" w:fill="auto"/>
          </w:tcPr>
          <w:p w14:paraId="0236E74A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0F53A600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2238C559" w14:textId="77777777" w:rsidTr="00BF715D">
        <w:tc>
          <w:tcPr>
            <w:tcW w:w="3532" w:type="pct"/>
            <w:shd w:val="clear" w:color="auto" w:fill="auto"/>
          </w:tcPr>
          <w:p w14:paraId="78B42986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Ability to work in a team with leadership colleagues, parents, </w:t>
            </w:r>
            <w:proofErr w:type="gramStart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proofErr w:type="gramEnd"/>
            <w:r w:rsidRPr="00B90C1D">
              <w:rPr>
                <w:rFonts w:asciiTheme="minorHAnsi" w:hAnsiTheme="minorHAnsi" w:cstheme="minorHAnsi"/>
                <w:sz w:val="24"/>
                <w:szCs w:val="24"/>
              </w:rPr>
              <w:t xml:space="preserve"> and governors</w:t>
            </w:r>
          </w:p>
        </w:tc>
        <w:tc>
          <w:tcPr>
            <w:tcW w:w="688" w:type="pct"/>
            <w:shd w:val="clear" w:color="auto" w:fill="auto"/>
          </w:tcPr>
          <w:p w14:paraId="32A9E521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3AC7E8BF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736AA59" w14:textId="77777777" w:rsidTr="00BF715D">
        <w:tc>
          <w:tcPr>
            <w:tcW w:w="3532" w:type="pct"/>
            <w:shd w:val="clear" w:color="auto" w:fill="auto"/>
          </w:tcPr>
          <w:p w14:paraId="76F7B8A0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Ability to work well under pressure, with a calm approach</w:t>
            </w:r>
          </w:p>
        </w:tc>
        <w:tc>
          <w:tcPr>
            <w:tcW w:w="688" w:type="pct"/>
            <w:shd w:val="clear" w:color="auto" w:fill="auto"/>
          </w:tcPr>
          <w:p w14:paraId="1872D567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08718CE4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45E498C8" w14:textId="77777777" w:rsidTr="00BF715D">
        <w:tc>
          <w:tcPr>
            <w:tcW w:w="3532" w:type="pct"/>
            <w:shd w:val="clear" w:color="auto" w:fill="auto"/>
          </w:tcPr>
          <w:p w14:paraId="5731CF8E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Ability to adapt to changing circumstances and new ideas</w:t>
            </w:r>
          </w:p>
        </w:tc>
        <w:tc>
          <w:tcPr>
            <w:tcW w:w="688" w:type="pct"/>
            <w:shd w:val="clear" w:color="auto" w:fill="auto"/>
          </w:tcPr>
          <w:p w14:paraId="2CF44F68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339713EF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167A8C8B" w14:textId="77777777" w:rsidTr="00BF715D">
        <w:tc>
          <w:tcPr>
            <w:tcW w:w="3532" w:type="pct"/>
            <w:shd w:val="clear" w:color="auto" w:fill="auto"/>
          </w:tcPr>
          <w:p w14:paraId="6DC60C24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Ability to prioritise, organise and delegate effectively, keeping to deadlines</w:t>
            </w:r>
          </w:p>
        </w:tc>
        <w:tc>
          <w:tcPr>
            <w:tcW w:w="688" w:type="pct"/>
            <w:shd w:val="clear" w:color="auto" w:fill="auto"/>
          </w:tcPr>
          <w:p w14:paraId="61CCB8F6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05E0A730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5701" w:rsidRPr="00B90C1D" w14:paraId="02451723" w14:textId="77777777" w:rsidTr="00BF715D">
        <w:tc>
          <w:tcPr>
            <w:tcW w:w="3532" w:type="pct"/>
            <w:shd w:val="clear" w:color="auto" w:fill="auto"/>
          </w:tcPr>
          <w:p w14:paraId="766E7B7F" w14:textId="77777777" w:rsidR="00475701" w:rsidRPr="00B90C1D" w:rsidRDefault="00475701" w:rsidP="00BF7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sz w:val="24"/>
                <w:szCs w:val="24"/>
              </w:rPr>
              <w:t>Excellent communication skills</w:t>
            </w:r>
          </w:p>
        </w:tc>
        <w:tc>
          <w:tcPr>
            <w:tcW w:w="688" w:type="pct"/>
            <w:shd w:val="clear" w:color="auto" w:fill="auto"/>
          </w:tcPr>
          <w:p w14:paraId="0784B086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C1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780" w:type="pct"/>
            <w:shd w:val="clear" w:color="auto" w:fill="auto"/>
          </w:tcPr>
          <w:p w14:paraId="0874C20D" w14:textId="77777777" w:rsidR="00475701" w:rsidRPr="00B90C1D" w:rsidRDefault="00475701" w:rsidP="00BF7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F9545D9" w14:textId="77777777" w:rsidR="00475701" w:rsidRDefault="00475701" w:rsidP="00475701">
      <w:pPr>
        <w:rPr>
          <w:rFonts w:asciiTheme="minorHAnsi" w:hAnsiTheme="minorHAnsi" w:cstheme="minorHAnsi"/>
          <w:sz w:val="24"/>
          <w:szCs w:val="24"/>
        </w:rPr>
      </w:pPr>
    </w:p>
    <w:p w14:paraId="0CA56F27" w14:textId="77777777" w:rsidR="00475701" w:rsidRDefault="00475701" w:rsidP="004757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41A5E311" w14:textId="77777777" w:rsidR="00475701" w:rsidRPr="00B90C1D" w:rsidRDefault="00475701" w:rsidP="0047570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90C1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Ryecroft</w:t>
      </w:r>
      <w:proofErr w:type="spellEnd"/>
      <w:r w:rsidRPr="00B90C1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Academy is committed to safeguarding and promoting the wellbeing of all children and we expect our staff and volunteers to share this commitment. The successful candidate will be subject to a Disclosure and Barring Service (DBS) check. We promote diversity and aim to establish a workforce which reflects the population of Leeds.</w:t>
      </w:r>
      <w:r w:rsidRPr="00B90C1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04C9FC" w14:textId="77777777" w:rsidR="00475701" w:rsidRPr="00B90C1D" w:rsidRDefault="00475701" w:rsidP="00475701">
      <w:pPr>
        <w:rPr>
          <w:rFonts w:asciiTheme="minorHAnsi" w:hAnsiTheme="minorHAnsi" w:cstheme="minorHAnsi"/>
          <w:sz w:val="24"/>
          <w:szCs w:val="24"/>
        </w:rPr>
      </w:pPr>
    </w:p>
    <w:p w14:paraId="1B9E9C2D" w14:textId="77777777" w:rsidR="00475701" w:rsidRDefault="00475701"/>
    <w:sectPr w:rsidR="00475701" w:rsidSect="00B90C1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521" w14:textId="77777777" w:rsidR="00475701" w:rsidRDefault="00475701" w:rsidP="00475701">
      <w:r>
        <w:separator/>
      </w:r>
    </w:p>
  </w:endnote>
  <w:endnote w:type="continuationSeparator" w:id="0">
    <w:p w14:paraId="3C25DAFC" w14:textId="77777777" w:rsidR="00475701" w:rsidRDefault="00475701" w:rsidP="004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AB3D" w14:textId="77777777" w:rsidR="00B90C1D" w:rsidRDefault="0065750F" w:rsidP="00B90C1D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5F6D1F78" w14:textId="77777777" w:rsidR="00B90C1D" w:rsidRPr="00B21DD8" w:rsidRDefault="0065750F" w:rsidP="00B90C1D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85D3667" w14:textId="77777777" w:rsidR="00B90C1D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</w:rPr>
      <w:drawing>
        <wp:anchor distT="0" distB="0" distL="114300" distR="114300" simplePos="0" relativeHeight="251660288" behindDoc="1" locked="0" layoutInCell="1" allowOverlap="1" wp14:anchorId="53653271" wp14:editId="6F93B2A1">
          <wp:simplePos x="0" y="0"/>
          <wp:positionH relativeFrom="margin">
            <wp:align>right</wp:align>
          </wp:positionH>
          <wp:positionV relativeFrom="paragraph">
            <wp:posOffset>100330</wp:posOffset>
          </wp:positionV>
          <wp:extent cx="1924050" cy="466725"/>
          <wp:effectExtent l="0" t="0" r="0" b="9525"/>
          <wp:wrapSquare wrapText="bothSides"/>
          <wp:docPr id="11" name="Picture 11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FCF844" w14:textId="77777777" w:rsidR="00B90C1D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 xml:space="preserve">Stonebridge Grove, </w:t>
    </w:r>
    <w:proofErr w:type="spellStart"/>
    <w:r>
      <w:rPr>
        <w:rFonts w:ascii="Arial" w:hAnsi="Arial" w:cs="Arial"/>
        <w:sz w:val="16"/>
        <w:szCs w:val="18"/>
        <w:shd w:val="clear" w:color="auto" w:fill="FFFFFF"/>
      </w:rPr>
      <w:t>Farnley</w:t>
    </w:r>
    <w:proofErr w:type="spellEnd"/>
    <w:r>
      <w:rPr>
        <w:rFonts w:ascii="Arial" w:hAnsi="Arial" w:cs="Arial"/>
        <w:sz w:val="16"/>
        <w:szCs w:val="18"/>
        <w:shd w:val="clear" w:color="auto" w:fill="FFFFFF"/>
      </w:rPr>
      <w:t>, Leeds, LS12 5AW</w:t>
    </w:r>
  </w:p>
  <w:p w14:paraId="45CD2371" w14:textId="77777777" w:rsidR="00B90C1D" w:rsidRPr="006B0E84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sz w:val="16"/>
        <w:szCs w:val="18"/>
        <w:shd w:val="clear" w:color="auto" w:fill="FFFFFF"/>
      </w:rPr>
      <w:t>0113 733 0129</w:t>
    </w:r>
  </w:p>
  <w:p w14:paraId="69D57E9D" w14:textId="77777777" w:rsidR="00B90C1D" w:rsidRPr="00390118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sz w:val="16"/>
        <w:szCs w:val="18"/>
        <w:shd w:val="clear" w:color="auto" w:fill="FFFFFF"/>
      </w:rPr>
      <w:t>info</w:t>
    </w:r>
    <w:r w:rsidRPr="00E27C6B">
      <w:rPr>
        <w:rFonts w:ascii="Arial" w:hAnsi="Arial" w:cs="Arial"/>
        <w:bCs/>
        <w:sz w:val="16"/>
        <w:szCs w:val="18"/>
        <w:shd w:val="clear" w:color="auto" w:fill="FFFFFF"/>
      </w:rPr>
      <w:t>@</w:t>
    </w:r>
    <w:r>
      <w:rPr>
        <w:rFonts w:ascii="Arial" w:hAnsi="Arial" w:cs="Arial"/>
        <w:bCs/>
        <w:sz w:val="16"/>
        <w:szCs w:val="18"/>
        <w:shd w:val="clear" w:color="auto" w:fill="FFFFFF"/>
      </w:rPr>
      <w:t>ryecroft.leeds.sch.uk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3E6741B3" w14:textId="77777777" w:rsidR="00B90C1D" w:rsidRDefault="00475701" w:rsidP="00B90C1D">
    <w:pPr>
      <w:pStyle w:val="Footer"/>
      <w:tabs>
        <w:tab w:val="clear" w:pos="4513"/>
        <w:tab w:val="clear" w:pos="9026"/>
        <w:tab w:val="right" w:pos="10204"/>
      </w:tabs>
      <w:spacing w:line="360" w:lineRule="auto"/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E27C6B">
      <w:rPr>
        <w:rFonts w:ascii="Arial" w:hAnsi="Arial" w:cs="Arial"/>
        <w:bCs/>
        <w:sz w:val="16"/>
        <w:szCs w:val="18"/>
        <w:shd w:val="clear" w:color="auto" w:fill="FFFFFF"/>
      </w:rPr>
      <w:t>www.</w:t>
    </w:r>
    <w:r>
      <w:rPr>
        <w:rFonts w:ascii="Arial" w:hAnsi="Arial" w:cs="Arial"/>
        <w:bCs/>
        <w:sz w:val="16"/>
        <w:szCs w:val="18"/>
        <w:shd w:val="clear" w:color="auto" w:fill="FFFFFF"/>
      </w:rPr>
      <w:t>ryecroft.leeds.sch.uk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</w:p>
  <w:p w14:paraId="1A5042C0" w14:textId="77777777" w:rsidR="000C2F4C" w:rsidRPr="00B90C1D" w:rsidRDefault="00475701" w:rsidP="00B90C1D">
    <w:pPr>
      <w:pStyle w:val="Footer"/>
      <w:tabs>
        <w:tab w:val="clear" w:pos="4513"/>
        <w:tab w:val="clear" w:pos="9026"/>
        <w:tab w:val="right" w:pos="10204"/>
      </w:tabs>
      <w:spacing w:line="360" w:lineRule="auto"/>
      <w:jc w:val="right"/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>: Sir John Townsley BA (Hons) NPQH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530" w14:textId="77777777" w:rsidR="00B90C1D" w:rsidRPr="00B21DD8" w:rsidRDefault="0065750F" w:rsidP="00B90C1D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6615008C" w14:textId="77777777" w:rsidR="00B90C1D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39E1FE00" wp14:editId="240E10E9">
          <wp:simplePos x="0" y="0"/>
          <wp:positionH relativeFrom="margin">
            <wp:align>right</wp:align>
          </wp:positionH>
          <wp:positionV relativeFrom="paragraph">
            <wp:posOffset>62230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C2DA18" w14:textId="77777777" w:rsidR="00B90C1D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 xml:space="preserve">Stonebridge Grove, </w:t>
    </w:r>
    <w:proofErr w:type="spellStart"/>
    <w:r>
      <w:rPr>
        <w:rFonts w:ascii="Arial" w:hAnsi="Arial" w:cs="Arial"/>
        <w:sz w:val="16"/>
        <w:szCs w:val="18"/>
        <w:shd w:val="clear" w:color="auto" w:fill="FFFFFF"/>
      </w:rPr>
      <w:t>Farnley</w:t>
    </w:r>
    <w:proofErr w:type="spellEnd"/>
    <w:r>
      <w:rPr>
        <w:rFonts w:ascii="Arial" w:hAnsi="Arial" w:cs="Arial"/>
        <w:sz w:val="16"/>
        <w:szCs w:val="18"/>
        <w:shd w:val="clear" w:color="auto" w:fill="FFFFFF"/>
      </w:rPr>
      <w:t>, Leeds, LS12 5AW</w:t>
    </w:r>
  </w:p>
  <w:p w14:paraId="24359F64" w14:textId="77777777" w:rsidR="00B90C1D" w:rsidRPr="006B0E84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sz w:val="16"/>
        <w:szCs w:val="18"/>
        <w:shd w:val="clear" w:color="auto" w:fill="FFFFFF"/>
      </w:rPr>
      <w:t>0113 733 0129</w:t>
    </w:r>
  </w:p>
  <w:p w14:paraId="38307C8C" w14:textId="77777777" w:rsidR="00B90C1D" w:rsidRPr="00390118" w:rsidRDefault="00475701" w:rsidP="00B90C1D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sz w:val="16"/>
        <w:szCs w:val="18"/>
        <w:shd w:val="clear" w:color="auto" w:fill="FFFFFF"/>
      </w:rPr>
      <w:t>info</w:t>
    </w:r>
    <w:r w:rsidRPr="00E27C6B">
      <w:rPr>
        <w:rFonts w:ascii="Arial" w:hAnsi="Arial" w:cs="Arial"/>
        <w:bCs/>
        <w:sz w:val="16"/>
        <w:szCs w:val="18"/>
        <w:shd w:val="clear" w:color="auto" w:fill="FFFFFF"/>
      </w:rPr>
      <w:t>@</w:t>
    </w:r>
    <w:r>
      <w:rPr>
        <w:rFonts w:ascii="Arial" w:hAnsi="Arial" w:cs="Arial"/>
        <w:bCs/>
        <w:sz w:val="16"/>
        <w:szCs w:val="18"/>
        <w:shd w:val="clear" w:color="auto" w:fill="FFFFFF"/>
      </w:rPr>
      <w:t>ryecroft.leeds.sch.uk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3726C9B2" w14:textId="77777777" w:rsidR="00B90C1D" w:rsidRDefault="00475701" w:rsidP="00B90C1D">
    <w:pPr>
      <w:pStyle w:val="Footer"/>
      <w:tabs>
        <w:tab w:val="clear" w:pos="4513"/>
        <w:tab w:val="clear" w:pos="9026"/>
        <w:tab w:val="right" w:pos="10204"/>
      </w:tabs>
      <w:spacing w:line="360" w:lineRule="auto"/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E27C6B">
      <w:rPr>
        <w:rFonts w:ascii="Arial" w:hAnsi="Arial" w:cs="Arial"/>
        <w:bCs/>
        <w:sz w:val="16"/>
        <w:szCs w:val="18"/>
        <w:shd w:val="clear" w:color="auto" w:fill="FFFFFF"/>
      </w:rPr>
      <w:t>www.</w:t>
    </w:r>
    <w:r>
      <w:rPr>
        <w:rFonts w:ascii="Arial" w:hAnsi="Arial" w:cs="Arial"/>
        <w:bCs/>
        <w:sz w:val="16"/>
        <w:szCs w:val="18"/>
        <w:shd w:val="clear" w:color="auto" w:fill="FFFFFF"/>
      </w:rPr>
      <w:t>ryecroft.leeds.sch.uk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</w:p>
  <w:p w14:paraId="66148C66" w14:textId="77777777" w:rsidR="004D3DD0" w:rsidRPr="00B90C1D" w:rsidRDefault="00475701" w:rsidP="00B90C1D">
    <w:pPr>
      <w:pStyle w:val="Footer"/>
      <w:tabs>
        <w:tab w:val="clear" w:pos="4513"/>
        <w:tab w:val="clear" w:pos="9026"/>
        <w:tab w:val="right" w:pos="10204"/>
      </w:tabs>
      <w:spacing w:line="360" w:lineRule="auto"/>
      <w:jc w:val="right"/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>: Sir John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E5FF" w14:textId="77777777" w:rsidR="00475701" w:rsidRDefault="00475701" w:rsidP="00475701">
      <w:r>
        <w:separator/>
      </w:r>
    </w:p>
  </w:footnote>
  <w:footnote w:type="continuationSeparator" w:id="0">
    <w:p w14:paraId="21E85E57" w14:textId="77777777" w:rsidR="00475701" w:rsidRDefault="00475701" w:rsidP="0047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94FA" w14:textId="77777777" w:rsidR="00D70B62" w:rsidRDefault="00475701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C8048D8" wp14:editId="10777F8E">
          <wp:extent cx="2146300" cy="780567"/>
          <wp:effectExtent l="0" t="0" r="0" b="0"/>
          <wp:docPr id="8" name="Picture 8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683" cy="79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0F8C9" w14:textId="77777777" w:rsidR="003300B2" w:rsidRPr="00D70B62" w:rsidRDefault="0065750F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2691" w14:textId="77777777" w:rsidR="00B90C1D" w:rsidRPr="00243C82" w:rsidRDefault="00475701" w:rsidP="00B90C1D">
    <w:pPr>
      <w:pStyle w:val="Header"/>
      <w:tabs>
        <w:tab w:val="clear" w:pos="4513"/>
        <w:tab w:val="clear" w:pos="9026"/>
        <w:tab w:val="right" w:pos="10204"/>
      </w:tabs>
    </w:pPr>
    <w:r>
      <w:rPr>
        <w:noProof/>
      </w:rPr>
      <w:drawing>
        <wp:inline distT="0" distB="0" distL="0" distR="0" wp14:anchorId="602B79B2" wp14:editId="7EE88923">
          <wp:extent cx="2146300" cy="780567"/>
          <wp:effectExtent l="0" t="0" r="0" b="0"/>
          <wp:docPr id="9" name="Picture 9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683" cy="79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A902E2" w14:textId="2E9E1CB1" w:rsidR="00B90C1D" w:rsidRPr="001C2943" w:rsidRDefault="0065750F" w:rsidP="00B90C1D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64E08B6A" w14:textId="77777777" w:rsidR="00B90C1D" w:rsidRDefault="00475701" w:rsidP="00B90C1D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Principal:</w:t>
    </w:r>
    <w:r>
      <w:rPr>
        <w:rFonts w:ascii="Arial" w:hAnsi="Arial" w:cs="Arial"/>
        <w:sz w:val="16"/>
      </w:rPr>
      <w:t xml:space="preserve"> Helen Townsley BA (Hons)</w:t>
    </w:r>
    <w:r w:rsidRPr="00B21DD8">
      <w:rPr>
        <w:rFonts w:ascii="Arial" w:hAnsi="Arial" w:cs="Arial"/>
        <w:sz w:val="12"/>
      </w:rPr>
      <w:tab/>
    </w:r>
    <w:r w:rsidRPr="00B21DD8"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 J Fyffe</w:t>
    </w:r>
  </w:p>
  <w:p w14:paraId="15515054" w14:textId="77777777" w:rsidR="00B90C1D" w:rsidRPr="00B21DD8" w:rsidRDefault="0065750F" w:rsidP="00B90C1D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B8372CA" w14:textId="77777777" w:rsidR="006B3BBF" w:rsidRPr="00E148BF" w:rsidRDefault="0065750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01"/>
    <w:rsid w:val="003A34BD"/>
    <w:rsid w:val="00475701"/>
    <w:rsid w:val="006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7A138"/>
  <w15:chartTrackingRefBased/>
  <w15:docId w15:val="{3961A25A-81D7-4774-98A9-1B5ACA37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475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70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7570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475701"/>
  </w:style>
  <w:style w:type="character" w:customStyle="1" w:styleId="eop">
    <w:name w:val="eop"/>
    <w:basedOn w:val="DefaultParagraphFont"/>
    <w:rsid w:val="0047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Shore</dc:creator>
  <cp:keywords/>
  <dc:description/>
  <cp:lastModifiedBy>Lydia Shore</cp:lastModifiedBy>
  <cp:revision>3</cp:revision>
  <dcterms:created xsi:type="dcterms:W3CDTF">2021-10-01T12:45:00Z</dcterms:created>
  <dcterms:modified xsi:type="dcterms:W3CDTF">2021-10-04T08:34:00Z</dcterms:modified>
</cp:coreProperties>
</file>