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389FA2B9" w14:textId="7F9D4159" w:rsidR="006141BA" w:rsidRPr="00F17477" w:rsidRDefault="00F17477" w:rsidP="00F571FC">
      <w:pPr>
        <w:jc w:val="center"/>
        <w:rPr>
          <w:b/>
          <w:bCs/>
          <w:color w:val="000000" w:themeColor="text1"/>
        </w:rPr>
      </w:pPr>
      <w:r w:rsidRPr="00F17477">
        <w:rPr>
          <w:b/>
          <w:bCs/>
          <w:color w:val="000000" w:themeColor="text1"/>
        </w:rPr>
        <w:t>ASSOCIATE ASSISTANT HEADTEACHER</w:t>
      </w:r>
    </w:p>
    <w:p w14:paraId="3E0363C0" w14:textId="77777777" w:rsidR="00F571FC" w:rsidRPr="00F571FC" w:rsidRDefault="00F571FC" w:rsidP="00F571FC">
      <w:pPr>
        <w:pStyle w:val="NoSpacing"/>
      </w:pPr>
    </w:p>
    <w:p w14:paraId="55A0C662" w14:textId="718DCAAD" w:rsidR="006141BA" w:rsidRPr="00F17477" w:rsidRDefault="006141BA" w:rsidP="006141BA">
      <w:pPr>
        <w:pStyle w:val="NoSpacing"/>
        <w:rPr>
          <w:b/>
          <w:bCs/>
          <w:color w:val="000000" w:themeColor="text1"/>
        </w:rPr>
      </w:pPr>
      <w:r w:rsidRPr="00F17477">
        <w:rPr>
          <w:b/>
          <w:bCs/>
          <w:color w:val="000000" w:themeColor="text1"/>
        </w:rPr>
        <w:t xml:space="preserve">Salary: </w:t>
      </w:r>
      <w:r w:rsidRPr="00F17477">
        <w:rPr>
          <w:b/>
          <w:bCs/>
          <w:color w:val="000000" w:themeColor="text1"/>
        </w:rPr>
        <w:tab/>
      </w:r>
      <w:r w:rsidRPr="00F17477">
        <w:rPr>
          <w:b/>
          <w:bCs/>
          <w:color w:val="000000" w:themeColor="text1"/>
        </w:rPr>
        <w:tab/>
      </w:r>
      <w:r w:rsidRPr="00F17477">
        <w:rPr>
          <w:b/>
          <w:bCs/>
          <w:color w:val="000000" w:themeColor="text1"/>
        </w:rPr>
        <w:tab/>
      </w:r>
      <w:r w:rsidR="00F17477" w:rsidRPr="00F17477">
        <w:rPr>
          <w:b/>
          <w:bCs/>
          <w:color w:val="000000" w:themeColor="text1"/>
        </w:rPr>
        <w:t>L5 – L9</w:t>
      </w:r>
    </w:p>
    <w:p w14:paraId="7F332C92" w14:textId="76F065A0" w:rsidR="006141BA" w:rsidRPr="00F17477" w:rsidRDefault="006141BA" w:rsidP="006141BA">
      <w:pPr>
        <w:pStyle w:val="NoSpacing"/>
        <w:rPr>
          <w:b/>
          <w:bCs/>
          <w:color w:val="000000" w:themeColor="text1"/>
        </w:rPr>
      </w:pPr>
      <w:r w:rsidRPr="00F17477">
        <w:rPr>
          <w:b/>
          <w:bCs/>
          <w:color w:val="000000" w:themeColor="text1"/>
        </w:rPr>
        <w:t>Actual Salary:</w:t>
      </w:r>
      <w:r w:rsidRPr="00F17477">
        <w:rPr>
          <w:b/>
          <w:bCs/>
          <w:color w:val="000000" w:themeColor="text1"/>
        </w:rPr>
        <w:tab/>
      </w:r>
      <w:r w:rsidRPr="00F17477">
        <w:rPr>
          <w:b/>
          <w:bCs/>
          <w:color w:val="000000" w:themeColor="text1"/>
        </w:rPr>
        <w:tab/>
      </w:r>
      <w:r w:rsidR="00F17477">
        <w:rPr>
          <w:b/>
          <w:bCs/>
          <w:color w:val="000000" w:themeColor="text1"/>
        </w:rPr>
        <w:t>£48,895 - £53,973</w:t>
      </w:r>
    </w:p>
    <w:p w14:paraId="11691C04" w14:textId="2C94259D" w:rsidR="006141BA" w:rsidRPr="00F17477" w:rsidRDefault="006141BA" w:rsidP="006141BA">
      <w:pPr>
        <w:pStyle w:val="NoSpacing"/>
        <w:rPr>
          <w:b/>
          <w:bCs/>
          <w:color w:val="000000" w:themeColor="text1"/>
        </w:rPr>
      </w:pPr>
      <w:r w:rsidRPr="00F17477">
        <w:rPr>
          <w:b/>
          <w:bCs/>
          <w:color w:val="000000" w:themeColor="text1"/>
        </w:rPr>
        <w:t xml:space="preserve">Working hours: </w:t>
      </w:r>
      <w:r w:rsidRPr="00F17477">
        <w:rPr>
          <w:b/>
          <w:bCs/>
          <w:color w:val="000000" w:themeColor="text1"/>
        </w:rPr>
        <w:tab/>
      </w:r>
      <w:r w:rsidR="00F17477" w:rsidRPr="00F17477">
        <w:rPr>
          <w:b/>
          <w:bCs/>
          <w:color w:val="000000" w:themeColor="text1"/>
        </w:rPr>
        <w:t xml:space="preserve">Full Time </w:t>
      </w:r>
    </w:p>
    <w:p w14:paraId="746F5EBB" w14:textId="48EFF9FB" w:rsidR="006141BA" w:rsidRPr="00F17477" w:rsidRDefault="006141BA" w:rsidP="006141BA">
      <w:pPr>
        <w:pStyle w:val="NoSpacing"/>
        <w:rPr>
          <w:b/>
          <w:bCs/>
          <w:color w:val="000000" w:themeColor="text1"/>
        </w:rPr>
      </w:pPr>
      <w:r w:rsidRPr="00F17477">
        <w:rPr>
          <w:b/>
          <w:bCs/>
          <w:color w:val="000000" w:themeColor="text1"/>
        </w:rPr>
        <w:t xml:space="preserve">Contract type: </w:t>
      </w:r>
      <w:r w:rsidRPr="00F17477">
        <w:rPr>
          <w:b/>
          <w:bCs/>
          <w:color w:val="000000" w:themeColor="text1"/>
        </w:rPr>
        <w:tab/>
      </w:r>
      <w:r w:rsidRPr="00F17477">
        <w:rPr>
          <w:b/>
          <w:bCs/>
          <w:color w:val="000000" w:themeColor="text1"/>
        </w:rPr>
        <w:tab/>
      </w:r>
      <w:r w:rsidR="00F17477" w:rsidRPr="00F17477">
        <w:rPr>
          <w:b/>
          <w:bCs/>
          <w:color w:val="000000" w:themeColor="text1"/>
        </w:rPr>
        <w:t xml:space="preserve">Permanent </w:t>
      </w:r>
    </w:p>
    <w:p w14:paraId="3E0F078D" w14:textId="5FB8E33E" w:rsidR="006141BA" w:rsidRPr="00F17477" w:rsidRDefault="006141BA" w:rsidP="006141BA">
      <w:pPr>
        <w:pStyle w:val="NoSpacing"/>
        <w:rPr>
          <w:b/>
          <w:bCs/>
          <w:color w:val="000000" w:themeColor="text1"/>
        </w:rPr>
      </w:pPr>
      <w:r w:rsidRPr="00F17477">
        <w:rPr>
          <w:b/>
          <w:bCs/>
          <w:color w:val="000000" w:themeColor="text1"/>
        </w:rPr>
        <w:t xml:space="preserve">Start date: </w:t>
      </w:r>
      <w:r w:rsidRPr="00F17477">
        <w:rPr>
          <w:b/>
          <w:bCs/>
          <w:color w:val="000000" w:themeColor="text1"/>
        </w:rPr>
        <w:tab/>
      </w:r>
      <w:r w:rsidRPr="00F17477">
        <w:rPr>
          <w:b/>
          <w:bCs/>
          <w:color w:val="000000" w:themeColor="text1"/>
        </w:rPr>
        <w:tab/>
      </w:r>
      <w:r w:rsidR="00F17477" w:rsidRPr="00F17477">
        <w:rPr>
          <w:b/>
          <w:bCs/>
          <w:color w:val="000000" w:themeColor="text1"/>
        </w:rPr>
        <w:t>ASAP</w:t>
      </w:r>
    </w:p>
    <w:p w14:paraId="64E704E1" w14:textId="71669A52" w:rsidR="006141BA" w:rsidRPr="00F17477" w:rsidRDefault="006141BA">
      <w:pPr>
        <w:rPr>
          <w:color w:val="000000" w:themeColor="text1"/>
        </w:rPr>
      </w:pPr>
    </w:p>
    <w:p w14:paraId="4E5A871A" w14:textId="52407BFF" w:rsidR="00B76816" w:rsidRDefault="00F17477">
      <w:pPr>
        <w:rPr>
          <w:b/>
          <w:bCs/>
          <w:color w:val="4472C4" w:themeColor="accent1"/>
        </w:rPr>
      </w:pPr>
      <w:r w:rsidRPr="00F17477">
        <w:rPr>
          <w:color w:val="000000" w:themeColor="text1"/>
        </w:rPr>
        <w:t>The core purpose of the Associate Assistant Headteacher</w:t>
      </w:r>
      <w:r>
        <w:rPr>
          <w:color w:val="000000" w:themeColor="text1"/>
        </w:rPr>
        <w:t xml:space="preserve"> </w:t>
      </w:r>
      <w:r w:rsidR="008F4981">
        <w:rPr>
          <w:color w:val="000000" w:themeColor="text1"/>
        </w:rPr>
        <w:t>ideally a teacher who</w:t>
      </w:r>
      <w:r w:rsidR="00710E8E">
        <w:rPr>
          <w:color w:val="000000" w:themeColor="text1"/>
        </w:rPr>
        <w:t>se</w:t>
      </w:r>
      <w:r w:rsidR="008F4981">
        <w:rPr>
          <w:color w:val="000000" w:themeColor="text1"/>
        </w:rPr>
        <w:t xml:space="preserve"> specialist subject is Science</w:t>
      </w:r>
      <w:r w:rsidR="00C03A42">
        <w:rPr>
          <w:color w:val="000000" w:themeColor="text1"/>
        </w:rPr>
        <w:t xml:space="preserve"> </w:t>
      </w:r>
      <w:r w:rsidR="008D621D">
        <w:rPr>
          <w:color w:val="000000" w:themeColor="text1"/>
        </w:rPr>
        <w:t>or</w:t>
      </w:r>
      <w:r w:rsidR="00C03A42">
        <w:rPr>
          <w:color w:val="000000" w:themeColor="text1"/>
        </w:rPr>
        <w:t xml:space="preserve"> Mathematics</w:t>
      </w:r>
      <w:r w:rsidRPr="00F17477">
        <w:rPr>
          <w:color w:val="000000" w:themeColor="text1"/>
        </w:rPr>
        <w:t xml:space="preserve">, at Tottington High School, is to provide professional leadership and management of the cluster of subjects they are leading. This involves providing a vision, achieving a </w:t>
      </w:r>
      <w:r>
        <w:t xml:space="preserve">commitment to a set of values and guiding and inspiring colleagues to secure high standards of teaching and learning, the effective use of resources and improvement in standards of learning and achievement for all pupils. </w:t>
      </w:r>
    </w:p>
    <w:p w14:paraId="6B59397C" w14:textId="48CF2A3E" w:rsidR="00FC08F8" w:rsidRDefault="004B1316" w:rsidP="00616306">
      <w:pPr>
        <w:tabs>
          <w:tab w:val="left" w:pos="2916"/>
        </w:tabs>
        <w:rPr>
          <w:b/>
          <w:bCs/>
          <w:color w:val="4472C4" w:themeColor="accent1"/>
        </w:rPr>
      </w:pPr>
      <w:r>
        <w:t>Tottington High School is a school with a very clear vision for its future, having recently converted to academy status to be part of the family within The Shaw Education Trust; committed to the continued professional development of all members of staff and the sustained successful performance of all its academies.</w:t>
      </w:r>
      <w:r w:rsidR="00616306">
        <w:rPr>
          <w:b/>
          <w:bCs/>
          <w:color w:val="4472C4" w:themeColor="accent1"/>
        </w:rPr>
        <w:tab/>
      </w:r>
    </w:p>
    <w:p w14:paraId="0B9505A3" w14:textId="603E12D4" w:rsidR="00616306" w:rsidRDefault="00FC08F8" w:rsidP="00616306">
      <w:pPr>
        <w:tabs>
          <w:tab w:val="left" w:pos="2916"/>
        </w:tabs>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A1C63ED" w14:textId="77777777" w:rsidR="002237B5" w:rsidRDefault="002237B5" w:rsidP="002237B5">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vocational and technical pathways,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66A489E6" w14:textId="77777777" w:rsidR="002237B5"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15EF59C" w14:textId="77777777" w:rsidR="00587155" w:rsidRDefault="00587155" w:rsidP="002237B5">
      <w:pPr>
        <w:pStyle w:val="NoSpacing"/>
      </w:pPr>
    </w:p>
    <w:p w14:paraId="312F83F2" w14:textId="77777777" w:rsidR="00587155" w:rsidRDefault="00587155" w:rsidP="002237B5">
      <w:pPr>
        <w:pStyle w:val="NoSpacing"/>
      </w:pPr>
    </w:p>
    <w:p w14:paraId="31CAAA86" w14:textId="77777777" w:rsidR="00587155" w:rsidRDefault="00587155" w:rsidP="002237B5">
      <w:pPr>
        <w:pStyle w:val="NoSpacing"/>
      </w:pPr>
    </w:p>
    <w:p w14:paraId="454B155A" w14:textId="77777777" w:rsidR="008F4981" w:rsidRDefault="008F4981" w:rsidP="002237B5">
      <w:pPr>
        <w:pStyle w:val="NoSpacing"/>
      </w:pPr>
    </w:p>
    <w:p w14:paraId="4AD525E1" w14:textId="267A84F3" w:rsidR="00F17477" w:rsidRDefault="002237B5" w:rsidP="002237B5">
      <w:pPr>
        <w:pStyle w:val="NoSpacing"/>
      </w:pPr>
      <w:r>
        <w:t>As a group of schools, we take an evidence-informed approach to developing the quality of our teaching and learning, learning from research and best practice in the sector. We value a non-hierarchical, supportive approach to</w:t>
      </w:r>
      <w:r w:rsidR="00F17477">
        <w:t xml:space="preserve"> </w:t>
      </w:r>
    </w:p>
    <w:p w14:paraId="1D7DF698" w14:textId="77777777" w:rsidR="00F17477" w:rsidRDefault="00F17477" w:rsidP="002237B5">
      <w:pPr>
        <w:pStyle w:val="NoSpacing"/>
      </w:pPr>
    </w:p>
    <w:p w14:paraId="4CA64453" w14:textId="6E1B0439" w:rsidR="002237B5" w:rsidRDefault="002237B5" w:rsidP="002237B5">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subject staff across the trust to design and deliver the very best curricula, providing subject specific pedagogical support. </w:t>
      </w:r>
    </w:p>
    <w:p w14:paraId="2197F441" w14:textId="77777777" w:rsidR="002237B5" w:rsidRDefault="002237B5" w:rsidP="002237B5">
      <w:pPr>
        <w:pStyle w:val="NoSpacing"/>
      </w:pPr>
    </w:p>
    <w:p w14:paraId="5D821BC2" w14:textId="77777777" w:rsidR="002237B5" w:rsidRDefault="002237B5" w:rsidP="002237B5">
      <w:pPr>
        <w:pStyle w:val="NoSpacing"/>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24135BD1" w14:textId="77777777" w:rsidR="00DA5100" w:rsidRPr="00F00DD8" w:rsidRDefault="00DA5100" w:rsidP="00DA5100">
      <w:pPr>
        <w:pStyle w:val="NoSpacing"/>
        <w:rPr>
          <w:color w:val="000000" w:themeColor="text1"/>
        </w:rPr>
      </w:pPr>
    </w:p>
    <w:p w14:paraId="465352DD" w14:textId="148643EB" w:rsidR="006141BA" w:rsidRPr="00F00DD8" w:rsidRDefault="006141BA" w:rsidP="006141BA">
      <w:pPr>
        <w:rPr>
          <w:color w:val="000000" w:themeColor="text1"/>
        </w:rPr>
      </w:pPr>
      <w:r w:rsidRPr="00F00DD8">
        <w:rPr>
          <w:b/>
          <w:bCs/>
          <w:color w:val="000000" w:themeColor="text1"/>
        </w:rPr>
        <w:t>Shaw Education Trust offer the following benefits with your Teaching or Support Staff employment:</w:t>
      </w:r>
    </w:p>
    <w:p w14:paraId="059EBB16" w14:textId="77777777" w:rsidR="006141BA" w:rsidRPr="00F00DD8" w:rsidRDefault="006141BA" w:rsidP="006141BA">
      <w:pPr>
        <w:pStyle w:val="ListParagraph"/>
        <w:numPr>
          <w:ilvl w:val="0"/>
          <w:numId w:val="5"/>
        </w:numPr>
        <w:spacing w:after="0" w:line="240" w:lineRule="auto"/>
        <w:contextualSpacing w:val="0"/>
        <w:rPr>
          <w:rFonts w:eastAsia="Times New Roman"/>
          <w:color w:val="000000" w:themeColor="text1"/>
        </w:rPr>
      </w:pPr>
      <w:r w:rsidRPr="00F00DD8">
        <w:rPr>
          <w:rFonts w:eastAsia="Times New Roman"/>
          <w:color w:val="000000" w:themeColor="text1"/>
        </w:rPr>
        <w:t>An excellent Local Government Pension Scheme (Support Staff) / Teachers Pension (Teaching Staff)</w:t>
      </w:r>
    </w:p>
    <w:p w14:paraId="357BE374" w14:textId="0D601018" w:rsidR="006141BA" w:rsidRPr="00F00DD8" w:rsidRDefault="006141BA" w:rsidP="006141BA">
      <w:pPr>
        <w:pStyle w:val="ListParagraph"/>
        <w:numPr>
          <w:ilvl w:val="0"/>
          <w:numId w:val="5"/>
        </w:numPr>
        <w:spacing w:after="0" w:line="240" w:lineRule="auto"/>
        <w:rPr>
          <w:rFonts w:eastAsia="Times New Roman"/>
          <w:color w:val="000000" w:themeColor="text1"/>
        </w:rPr>
      </w:pPr>
      <w:r w:rsidRPr="00F00DD8">
        <w:rPr>
          <w:rFonts w:eastAsia="Times New Roman"/>
          <w:b/>
          <w:bCs/>
          <w:color w:val="000000" w:themeColor="text1"/>
          <w:lang w:val="en-US" w:eastAsia="ja-JP"/>
        </w:rPr>
        <w:t>Support Staff only</w:t>
      </w:r>
      <w:r w:rsidRPr="00F00DD8">
        <w:rPr>
          <w:rFonts w:eastAsia="Times New Roman"/>
          <w:color w:val="000000" w:themeColor="text1"/>
          <w:lang w:val="en-US" w:eastAsia="ja-JP"/>
        </w:rPr>
        <w:t xml:space="preserve"> based on working </w:t>
      </w:r>
      <w:r w:rsidRPr="00F00DD8">
        <w:rPr>
          <w:rFonts w:eastAsia="Times New Roman"/>
          <w:b/>
          <w:bCs/>
          <w:color w:val="000000" w:themeColor="text1"/>
          <w:lang w:val="en-US" w:eastAsia="ja-JP"/>
        </w:rPr>
        <w:t>full time, all year</w:t>
      </w:r>
      <w:r w:rsidRPr="00F00DD8">
        <w:rPr>
          <w:rFonts w:eastAsia="Times New Roman"/>
          <w:color w:val="000000" w:themeColor="text1"/>
          <w:lang w:val="en-US" w:eastAsia="ja-JP"/>
        </w:rPr>
        <w:t xml:space="preserve"> - Generous holiday entitlement from your first day of employment (</w:t>
      </w:r>
      <w:r w:rsidRPr="00F00DD8">
        <w:rPr>
          <w:rFonts w:eastAsia="Times New Roman"/>
          <w:b/>
          <w:bCs/>
          <w:color w:val="000000" w:themeColor="text1"/>
          <w:lang w:val="en-US" w:eastAsia="ja-JP"/>
        </w:rPr>
        <w:t>3</w:t>
      </w:r>
      <w:r w:rsidR="002E372F" w:rsidRPr="00F00DD8">
        <w:rPr>
          <w:rFonts w:eastAsia="Times New Roman"/>
          <w:b/>
          <w:bCs/>
          <w:color w:val="000000" w:themeColor="text1"/>
          <w:lang w:val="en-US" w:eastAsia="ja-JP"/>
        </w:rPr>
        <w:t>7</w:t>
      </w:r>
      <w:r w:rsidRPr="00F00DD8">
        <w:rPr>
          <w:rFonts w:eastAsia="Times New Roman"/>
          <w:b/>
          <w:bCs/>
          <w:color w:val="000000" w:themeColor="text1"/>
          <w:lang w:val="en-US" w:eastAsia="ja-JP"/>
        </w:rPr>
        <w:t xml:space="preserve"> days holiday</w:t>
      </w:r>
      <w:r w:rsidRPr="00F00DD8">
        <w:rPr>
          <w:rFonts w:eastAsia="Times New Roman"/>
          <w:color w:val="000000" w:themeColor="text1"/>
          <w:lang w:val="en-US" w:eastAsia="ja-JP"/>
        </w:rPr>
        <w:t xml:space="preserve"> </w:t>
      </w:r>
      <w:r w:rsidRPr="00F00DD8">
        <w:rPr>
          <w:rFonts w:eastAsia="Times New Roman"/>
          <w:b/>
          <w:bCs/>
          <w:color w:val="000000" w:themeColor="text1"/>
          <w:lang w:val="en-US" w:eastAsia="ja-JP"/>
        </w:rPr>
        <w:t>rising to 3</w:t>
      </w:r>
      <w:r w:rsidR="002E372F" w:rsidRPr="00F00DD8">
        <w:rPr>
          <w:rFonts w:eastAsia="Times New Roman"/>
          <w:b/>
          <w:bCs/>
          <w:color w:val="000000" w:themeColor="text1"/>
          <w:lang w:val="en-US" w:eastAsia="ja-JP"/>
        </w:rPr>
        <w:t>9</w:t>
      </w:r>
      <w:r w:rsidRPr="00F00DD8">
        <w:rPr>
          <w:rFonts w:eastAsia="Times New Roman"/>
          <w:b/>
          <w:bCs/>
          <w:color w:val="000000" w:themeColor="text1"/>
          <w:lang w:val="en-US" w:eastAsia="ja-JP"/>
        </w:rPr>
        <w:t xml:space="preserve"> days</w:t>
      </w:r>
      <w:r w:rsidRPr="00F00DD8">
        <w:rPr>
          <w:rFonts w:eastAsia="Times New Roman"/>
          <w:color w:val="000000" w:themeColor="text1"/>
          <w:lang w:val="en-US" w:eastAsia="ja-JP"/>
        </w:rPr>
        <w:t xml:space="preserve"> after 5 years’ service including Bank Holidays)</w:t>
      </w:r>
      <w:r w:rsidRPr="00F00DD8">
        <w:rPr>
          <w:rFonts w:eastAsia="Times New Roman"/>
          <w:b/>
          <w:bCs/>
          <w:color w:val="000000" w:themeColor="text1"/>
          <w:lang w:val="en-US" w:eastAsia="ja-JP"/>
        </w:rPr>
        <w:t xml:space="preserve"> </w:t>
      </w:r>
    </w:p>
    <w:p w14:paraId="6CD1B646" w14:textId="22C9C14C" w:rsidR="006141BA" w:rsidRPr="00F00DD8" w:rsidRDefault="006141BA" w:rsidP="006141BA">
      <w:pPr>
        <w:pStyle w:val="ListParagraph"/>
        <w:numPr>
          <w:ilvl w:val="0"/>
          <w:numId w:val="5"/>
        </w:numPr>
        <w:spacing w:after="0" w:line="240" w:lineRule="auto"/>
        <w:contextualSpacing w:val="0"/>
        <w:rPr>
          <w:rFonts w:eastAsia="Times New Roman"/>
          <w:color w:val="000000" w:themeColor="text1"/>
        </w:rPr>
      </w:pPr>
      <w:r w:rsidRPr="00F00DD8">
        <w:rPr>
          <w:rFonts w:eastAsia="Times New Roman"/>
          <w:color w:val="000000" w:themeColor="text1"/>
        </w:rPr>
        <w:t>Access to health and wellbeing support via Occupational Health</w:t>
      </w:r>
    </w:p>
    <w:p w14:paraId="444A932A" w14:textId="77777777" w:rsidR="006141BA" w:rsidRPr="00F00DD8" w:rsidRDefault="006141BA" w:rsidP="006141BA">
      <w:pPr>
        <w:pStyle w:val="ListParagraph"/>
        <w:numPr>
          <w:ilvl w:val="0"/>
          <w:numId w:val="5"/>
        </w:numPr>
        <w:spacing w:after="0" w:line="240" w:lineRule="auto"/>
        <w:contextualSpacing w:val="0"/>
        <w:rPr>
          <w:rFonts w:eastAsia="Times New Roman"/>
          <w:color w:val="000000" w:themeColor="text1"/>
        </w:rPr>
      </w:pPr>
      <w:r w:rsidRPr="00F00DD8">
        <w:rPr>
          <w:rFonts w:eastAsia="Times New Roman"/>
          <w:color w:val="000000" w:themeColor="text1"/>
        </w:rPr>
        <w:t>Cycle to work scheme</w:t>
      </w:r>
    </w:p>
    <w:p w14:paraId="7BFC9649" w14:textId="77777777" w:rsidR="006141BA" w:rsidRPr="00F00DD8" w:rsidRDefault="006141BA" w:rsidP="006141BA">
      <w:pPr>
        <w:numPr>
          <w:ilvl w:val="0"/>
          <w:numId w:val="5"/>
        </w:numPr>
        <w:spacing w:after="0" w:line="240" w:lineRule="auto"/>
        <w:rPr>
          <w:rFonts w:eastAsia="Times New Roman"/>
          <w:color w:val="000000" w:themeColor="text1"/>
        </w:rPr>
      </w:pPr>
      <w:r w:rsidRPr="00F00DD8">
        <w:rPr>
          <w:rFonts w:eastAsia="Times New Roman"/>
          <w:color w:val="000000" w:themeColor="text1"/>
          <w:lang w:val="en-US" w:eastAsia="ja-JP"/>
        </w:rPr>
        <w:t xml:space="preserve">Access to our Institute of Education and fantastic opportunities to help you </w:t>
      </w:r>
      <w:r w:rsidRPr="00F00DD8">
        <w:rPr>
          <w:rFonts w:eastAsia="Times New Roman"/>
          <w:b/>
          <w:bCs/>
          <w:color w:val="000000" w:themeColor="text1"/>
          <w:lang w:val="en-US" w:eastAsia="ja-JP"/>
        </w:rPr>
        <w:t>grow, contribute</w:t>
      </w:r>
      <w:r w:rsidRPr="00F00DD8">
        <w:rPr>
          <w:rFonts w:eastAsia="Times New Roman"/>
          <w:color w:val="000000" w:themeColor="text1"/>
          <w:lang w:val="en-US" w:eastAsia="ja-JP"/>
        </w:rPr>
        <w:t xml:space="preserve"> and </w:t>
      </w:r>
      <w:r w:rsidRPr="00F00DD8">
        <w:rPr>
          <w:rFonts w:eastAsia="Times New Roman"/>
          <w:b/>
          <w:bCs/>
          <w:color w:val="000000" w:themeColor="text1"/>
          <w:lang w:val="en-US" w:eastAsia="ja-JP"/>
        </w:rPr>
        <w:t>flourish</w:t>
      </w:r>
      <w:r w:rsidRPr="00F00DD8">
        <w:rPr>
          <w:rFonts w:eastAsia="Times New Roman"/>
          <w:color w:val="000000" w:themeColor="text1"/>
          <w:lang w:val="en-US" w:eastAsia="ja-JP"/>
        </w:rPr>
        <w:t xml:space="preserve"> in your role and in the Trust. </w:t>
      </w:r>
    </w:p>
    <w:p w14:paraId="5E160154" w14:textId="3F85F90E" w:rsidR="006141BA" w:rsidRPr="00F00DD8" w:rsidRDefault="006141BA" w:rsidP="0090533D">
      <w:pPr>
        <w:rPr>
          <w:color w:val="000000" w:themeColor="text1"/>
          <w:lang w:val="en-US"/>
        </w:rPr>
      </w:pPr>
      <w:r w:rsidRPr="00F00DD8">
        <w:rPr>
          <w:color w:val="000000" w:themeColor="text1"/>
          <w:lang w:val="en-US"/>
        </w:rPr>
        <w:t> </w:t>
      </w:r>
    </w:p>
    <w:p w14:paraId="59C33FE3" w14:textId="77777777" w:rsidR="008F4981" w:rsidRPr="00F00DD8" w:rsidRDefault="008F4981" w:rsidP="008F4981">
      <w:pPr>
        <w:jc w:val="both"/>
        <w:rPr>
          <w:color w:val="000000" w:themeColor="text1"/>
        </w:rPr>
      </w:pPr>
      <w:r w:rsidRPr="00F00DD8">
        <w:rPr>
          <w:b/>
          <w:bCs/>
          <w:color w:val="000000" w:themeColor="text1"/>
        </w:rPr>
        <w:t>Colleagues within the Trust benefit from:</w:t>
      </w:r>
      <w:r w:rsidRPr="00F00DD8">
        <w:rPr>
          <w:color w:val="000000" w:themeColor="text1"/>
        </w:rPr>
        <w:t xml:space="preserve"> </w:t>
      </w:r>
    </w:p>
    <w:p w14:paraId="3276C414" w14:textId="77777777" w:rsidR="008F4981" w:rsidRDefault="008F4981" w:rsidP="008F4981">
      <w:pPr>
        <w:pStyle w:val="ListParagraph"/>
        <w:numPr>
          <w:ilvl w:val="0"/>
          <w:numId w:val="4"/>
        </w:numPr>
        <w:spacing w:after="0" w:line="252" w:lineRule="auto"/>
        <w:jc w:val="both"/>
        <w:rPr>
          <w:rFonts w:eastAsia="Times New Roman"/>
        </w:rPr>
      </w:pPr>
      <w:r w:rsidRPr="00F00DD8">
        <w:rPr>
          <w:rFonts w:eastAsia="Times New Roman"/>
          <w:color w:val="000000" w:themeColor="text1"/>
        </w:rPr>
        <w:t>Access to a full range of courses both in-house and professionally accredited</w:t>
      </w:r>
      <w:r w:rsidRPr="00CC0E3C">
        <w:rPr>
          <w:rFonts w:eastAsia="Times New Roman"/>
        </w:rPr>
        <w:t xml:space="preserve">.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114CFA3A" w14:textId="77777777" w:rsidR="008F4981" w:rsidRDefault="008F4981" w:rsidP="008F498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51283712" w14:textId="77777777" w:rsidR="008F4981" w:rsidRDefault="008F4981" w:rsidP="008F498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0ED589A1" w14:textId="77777777" w:rsidR="008F4981" w:rsidRDefault="008F4981" w:rsidP="008F4981">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310DA208" w14:textId="77777777" w:rsidR="008F4981" w:rsidRDefault="008F4981" w:rsidP="008F498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730DDDC0" w14:textId="77777777" w:rsidR="008F4981" w:rsidRDefault="008F4981" w:rsidP="008F498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6010E93" w14:textId="77777777" w:rsidR="008F4981" w:rsidRDefault="008F4981" w:rsidP="008F498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2199191C" w14:textId="77777777" w:rsidR="008F4981" w:rsidRPr="00B34E52" w:rsidRDefault="008F4981" w:rsidP="008F498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1D1F6DC7" w14:textId="77777777" w:rsidR="008F4981" w:rsidRPr="0090533D" w:rsidRDefault="008F4981" w:rsidP="0090533D"/>
    <w:p w14:paraId="7CABD341" w14:textId="5CD0556A" w:rsidR="006141BA" w:rsidRDefault="005B550C" w:rsidP="006141BA">
      <w:pPr>
        <w:pStyle w:val="xmsonormal"/>
      </w:pPr>
      <w:r w:rsidRPr="005B550C">
        <w:rPr>
          <w:b/>
          <w:bCs/>
          <w:color w:val="000000" w:themeColor="text1"/>
        </w:rPr>
        <w:t>TOTTINGTON HIGH SCHOOL</w:t>
      </w:r>
      <w:r w:rsidR="006141BA" w:rsidRPr="005B550C">
        <w:rPr>
          <w:color w:val="000000" w:themeColor="tex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7"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lastRenderedPageBreak/>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1A74FBF" w14:textId="77777777" w:rsidR="00582176" w:rsidRDefault="00582176" w:rsidP="006141BA">
      <w:pPr>
        <w:pStyle w:val="xmsonormal"/>
      </w:pPr>
    </w:p>
    <w:p w14:paraId="468CBF0F" w14:textId="77777777" w:rsidR="00582176" w:rsidRDefault="00582176" w:rsidP="006141BA">
      <w:pPr>
        <w:pStyle w:val="xmsonormal"/>
      </w:pPr>
    </w:p>
    <w:p w14:paraId="66D44DE3" w14:textId="6AAB3E95"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rPr>
          <w:rFonts w:ascii="Calibri" w:hAnsi="Calibri" w:cs="Calibri"/>
          <w:sz w:val="22"/>
          <w:szCs w:val="22"/>
          <w:lang w:val="en-US"/>
        </w:rPr>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11B07185" w:rsidR="006141BA" w:rsidRDefault="006141BA" w:rsidP="006141BA">
      <w:pPr>
        <w:pStyle w:val="xmsonormal"/>
      </w:pP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1FDFED5E" w:rsidR="006141BA" w:rsidRDefault="006141BA" w:rsidP="006141BA">
      <w:pPr>
        <w:pStyle w:val="xmsonormal"/>
      </w:pPr>
      <w:r>
        <w:rPr>
          <w:b/>
          <w:bCs/>
        </w:rPr>
        <w:t xml:space="preserve">Application deadline:    </w:t>
      </w:r>
      <w:r w:rsidR="00BC72E4" w:rsidRPr="00BC72E4">
        <w:rPr>
          <w:b/>
          <w:bCs/>
          <w:color w:val="FF0000"/>
        </w:rPr>
        <w:t>Tuesday, 26</w:t>
      </w:r>
      <w:r w:rsidR="00BC72E4" w:rsidRPr="00BC72E4">
        <w:rPr>
          <w:b/>
          <w:bCs/>
          <w:color w:val="FF0000"/>
          <w:vertAlign w:val="superscript"/>
        </w:rPr>
        <w:t>th</w:t>
      </w:r>
      <w:r w:rsidR="00BC72E4" w:rsidRPr="00BC72E4">
        <w:rPr>
          <w:b/>
          <w:bCs/>
          <w:color w:val="FF0000"/>
        </w:rPr>
        <w:t xml:space="preserve"> September 2023</w:t>
      </w:r>
    </w:p>
    <w:p w14:paraId="5EA8444C" w14:textId="42E2670F" w:rsidR="006141BA" w:rsidRDefault="006141BA" w:rsidP="006141BA">
      <w:pPr>
        <w:pStyle w:val="xmsonormal"/>
      </w:pPr>
      <w:r>
        <w:rPr>
          <w:b/>
          <w:bCs/>
        </w:rPr>
        <w:t xml:space="preserve">Shortlisting date: </w:t>
      </w:r>
      <w:r w:rsidR="00DA5100">
        <w:rPr>
          <w:b/>
          <w:bCs/>
        </w:rPr>
        <w:tab/>
      </w:r>
      <w:r w:rsidR="00BC72E4">
        <w:rPr>
          <w:b/>
          <w:bCs/>
          <w:color w:val="FF0000"/>
        </w:rPr>
        <w:t>To be advised</w:t>
      </w:r>
    </w:p>
    <w:p w14:paraId="7850FF3B" w14:textId="60B877FC" w:rsidR="006141BA" w:rsidRDefault="006141BA" w:rsidP="006141BA">
      <w:pPr>
        <w:pStyle w:val="xmsonormal"/>
      </w:pPr>
      <w:r>
        <w:rPr>
          <w:b/>
          <w:bCs/>
        </w:rPr>
        <w:t xml:space="preserve">Interview date: </w:t>
      </w:r>
      <w:r w:rsidR="00DA5100">
        <w:rPr>
          <w:b/>
          <w:bCs/>
        </w:rPr>
        <w:tab/>
      </w:r>
      <w:r w:rsidR="00BC72E4">
        <w:rPr>
          <w:b/>
          <w:bCs/>
          <w:color w:val="FF0000"/>
        </w:rPr>
        <w:t>To be advised</w:t>
      </w:r>
      <w:r w:rsidR="00DA5100" w:rsidRPr="00DA5100">
        <w:rPr>
          <w:b/>
          <w:bCs/>
          <w:color w:val="FF0000"/>
        </w:rPr>
        <w:t xml:space="preserve"> </w:t>
      </w: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6B16" w14:textId="77777777" w:rsidR="00505260" w:rsidRDefault="00505260" w:rsidP="006141BA">
      <w:pPr>
        <w:spacing w:after="0" w:line="240" w:lineRule="auto"/>
      </w:pPr>
      <w:r>
        <w:separator/>
      </w:r>
    </w:p>
  </w:endnote>
  <w:endnote w:type="continuationSeparator" w:id="0">
    <w:p w14:paraId="3FD6F2DD" w14:textId="77777777" w:rsidR="00505260" w:rsidRDefault="0050526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5D90" w14:textId="77777777" w:rsidR="00505260" w:rsidRDefault="00505260" w:rsidP="006141BA">
      <w:pPr>
        <w:spacing w:after="0" w:line="240" w:lineRule="auto"/>
      </w:pPr>
      <w:r>
        <w:separator/>
      </w:r>
    </w:p>
  </w:footnote>
  <w:footnote w:type="continuationSeparator" w:id="0">
    <w:p w14:paraId="2ACAB9A6" w14:textId="77777777" w:rsidR="00505260" w:rsidRDefault="0050526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88F0" w14:textId="530AF6BD" w:rsidR="006B4A02" w:rsidRDefault="006B4A02" w:rsidP="006141BA">
    <w:pPr>
      <w:pStyle w:val="Header"/>
      <w:jc w:val="center"/>
    </w:pPr>
    <w:r>
      <w:rPr>
        <w:noProof/>
      </w:rPr>
      <mc:AlternateContent>
        <mc:Choice Requires="wps">
          <w:drawing>
            <wp:inline distT="0" distB="0" distL="0" distR="0" wp14:anchorId="5C7C84FB" wp14:editId="11F1CEFA">
              <wp:extent cx="304800" cy="304800"/>
              <wp:effectExtent l="0" t="0" r="0" b="0"/>
              <wp:docPr id="49796835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84E9CA"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B9973D" w14:textId="55688FE7" w:rsidR="006B4A02" w:rsidRDefault="006B4A02" w:rsidP="006141BA">
    <w:pPr>
      <w:pStyle w:val="Header"/>
      <w:jc w:val="center"/>
    </w:pPr>
    <w:r>
      <w:rPr>
        <w:noProof/>
      </w:rPr>
      <mc:AlternateContent>
        <mc:Choice Requires="wps">
          <w:drawing>
            <wp:inline distT="0" distB="0" distL="0" distR="0" wp14:anchorId="5E0D41EA" wp14:editId="12E67BE4">
              <wp:extent cx="304800" cy="304800"/>
              <wp:effectExtent l="0" t="0" r="0" b="0"/>
              <wp:docPr id="37631462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F06142"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EAD5A9" w14:textId="2765867B" w:rsidR="006141BA" w:rsidRDefault="001358EF" w:rsidP="006141BA">
    <w:pPr>
      <w:pStyle w:val="Header"/>
      <w:jc w:val="center"/>
    </w:pPr>
    <w:r w:rsidRPr="001358EF">
      <w:rPr>
        <w:noProof/>
      </w:rPr>
      <w:drawing>
        <wp:anchor distT="0" distB="0" distL="114300" distR="114300" simplePos="0" relativeHeight="251658240" behindDoc="1" locked="0" layoutInCell="1" allowOverlap="1" wp14:anchorId="1B3BE496" wp14:editId="67C9A22D">
          <wp:simplePos x="0" y="0"/>
          <wp:positionH relativeFrom="margin">
            <wp:align>left</wp:align>
          </wp:positionH>
          <wp:positionV relativeFrom="paragraph">
            <wp:posOffset>103505</wp:posOffset>
          </wp:positionV>
          <wp:extent cx="2876550" cy="590550"/>
          <wp:effectExtent l="0" t="0" r="0" b="0"/>
          <wp:wrapTight wrapText="bothSides">
            <wp:wrapPolygon edited="0">
              <wp:start x="0" y="0"/>
              <wp:lineTo x="0" y="20903"/>
              <wp:lineTo x="21457" y="20903"/>
              <wp:lineTo x="21457" y="0"/>
              <wp:lineTo x="0" y="0"/>
            </wp:wrapPolygon>
          </wp:wrapTight>
          <wp:docPr id="1092588357"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88357" name="Picture 1" descr="A close 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0481"/>
    <w:rsid w:val="00094E15"/>
    <w:rsid w:val="000C7D22"/>
    <w:rsid w:val="001358EF"/>
    <w:rsid w:val="001C665F"/>
    <w:rsid w:val="001F0194"/>
    <w:rsid w:val="002237B5"/>
    <w:rsid w:val="002E372F"/>
    <w:rsid w:val="002E4EDE"/>
    <w:rsid w:val="00301FEB"/>
    <w:rsid w:val="00345D1C"/>
    <w:rsid w:val="00354290"/>
    <w:rsid w:val="004B1316"/>
    <w:rsid w:val="004C36A6"/>
    <w:rsid w:val="004E15AB"/>
    <w:rsid w:val="004F67E4"/>
    <w:rsid w:val="004F6F3C"/>
    <w:rsid w:val="00505260"/>
    <w:rsid w:val="005674B7"/>
    <w:rsid w:val="00582176"/>
    <w:rsid w:val="00587155"/>
    <w:rsid w:val="005B550C"/>
    <w:rsid w:val="005F51E7"/>
    <w:rsid w:val="006141BA"/>
    <w:rsid w:val="0061506D"/>
    <w:rsid w:val="00616306"/>
    <w:rsid w:val="00635F5B"/>
    <w:rsid w:val="006B4A02"/>
    <w:rsid w:val="00710E8E"/>
    <w:rsid w:val="007609B1"/>
    <w:rsid w:val="00795CD5"/>
    <w:rsid w:val="00820CFA"/>
    <w:rsid w:val="00893B49"/>
    <w:rsid w:val="008D621D"/>
    <w:rsid w:val="008E4C35"/>
    <w:rsid w:val="008F4981"/>
    <w:rsid w:val="0090533D"/>
    <w:rsid w:val="00922DC1"/>
    <w:rsid w:val="009C79AA"/>
    <w:rsid w:val="00AA2D2D"/>
    <w:rsid w:val="00B54BCE"/>
    <w:rsid w:val="00B76816"/>
    <w:rsid w:val="00B86804"/>
    <w:rsid w:val="00BC72E4"/>
    <w:rsid w:val="00BF327B"/>
    <w:rsid w:val="00C03A42"/>
    <w:rsid w:val="00C16151"/>
    <w:rsid w:val="00C1624D"/>
    <w:rsid w:val="00C521D9"/>
    <w:rsid w:val="00CC0E3C"/>
    <w:rsid w:val="00DA5100"/>
    <w:rsid w:val="00DA6BE4"/>
    <w:rsid w:val="00DE4492"/>
    <w:rsid w:val="00E01EB7"/>
    <w:rsid w:val="00EF4394"/>
    <w:rsid w:val="00F00DD8"/>
    <w:rsid w:val="00F17477"/>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2023-09-14T12:31:00Z</dcterms:created>
  <dcterms:modified xsi:type="dcterms:W3CDTF">2023-09-14T12:31:00Z</dcterms:modified>
</cp:coreProperties>
</file>