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-276223</wp:posOffset>
            </wp:positionV>
            <wp:extent cx="1047750" cy="1017729"/>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Northern Education Trust – Job Description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616"/>
        <w:gridCol w:w="1069"/>
        <w:gridCol w:w="2642"/>
        <w:tblGridChange w:id="0">
          <w:tblGrid>
            <w:gridCol w:w="2689"/>
            <w:gridCol w:w="2616"/>
            <w:gridCol w:w="1069"/>
            <w:gridCol w:w="2642"/>
          </w:tblGrid>
        </w:tblGridChange>
      </w:tblGrid>
      <w:tr>
        <w:trPr>
          <w:cantSplit w:val="0"/>
          <w:tblHeader w:val="0"/>
        </w:trPr>
        <w:tc>
          <w:tcPr>
            <w:shd w:fill="f2f2f2"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Title:</w:t>
            </w:r>
          </w:p>
        </w:tc>
        <w:tc>
          <w:tcPr>
            <w:gridSpan w:val="3"/>
            <w:shd w:fill="f2f2f2"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Academy Business Manager (JE001)</w:t>
            </w:r>
          </w:p>
        </w:tc>
      </w:tr>
      <w:tr>
        <w:trPr>
          <w:cantSplit w:val="0"/>
          <w:tblHeader w:val="0"/>
        </w:trPr>
        <w:tc>
          <w:tcPr>
            <w:shd w:fill="f2f2f2"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Base:</w:t>
            </w:r>
          </w:p>
        </w:tc>
        <w:tc>
          <w:tcPr>
            <w:gridSpan w:val="3"/>
            <w:shd w:fill="f2f2f2"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North Shore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Academy </w:t>
            </w:r>
          </w:p>
        </w:tc>
      </w:tr>
      <w:tr>
        <w:trPr>
          <w:cantSplit w:val="0"/>
          <w:trHeight w:val="416" w:hRule="atLeast"/>
          <w:tblHeader w:val="0"/>
        </w:trPr>
        <w:tc>
          <w:tcPr>
            <w:shd w:fill="f2f2f2"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Reports to:</w:t>
            </w:r>
          </w:p>
        </w:tc>
        <w:tc>
          <w:tcPr>
            <w:shd w:fill="f2f2f2"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Principal</w:t>
            </w:r>
          </w:p>
        </w:tc>
        <w:tc>
          <w:tcPr>
            <w:shd w:fill="f2f2f2"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Grade:</w:t>
            </w:r>
          </w:p>
        </w:tc>
        <w:tc>
          <w:tcPr>
            <w:shd w:fill="f2f2f2"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Grade 8</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SCP 37 – SCP 39</w:t>
            </w:r>
          </w:p>
        </w:tc>
      </w:tr>
      <w:tr>
        <w:trPr>
          <w:cantSplit w:val="0"/>
          <w:tblHeader w:val="0"/>
        </w:trPr>
        <w:tc>
          <w:tcPr>
            <w:shd w:fill="f2f2f2"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Staff responsibility for:</w:t>
            </w:r>
          </w:p>
        </w:tc>
        <w:tc>
          <w:tcPr>
            <w:shd w:fill="f2f2f2"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Academy Support Staff</w:t>
            </w:r>
          </w:p>
        </w:tc>
        <w:tc>
          <w:tcPr>
            <w:shd w:fill="f2f2f2"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Salary:</w:t>
            </w:r>
          </w:p>
        </w:tc>
        <w:tc>
          <w:tcPr>
            <w:shd w:fill="f2f2f2"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rtl w:val="0"/>
              </w:rPr>
              <w:t xml:space="preserve">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226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.00 - £</w:t>
            </w:r>
            <w:r w:rsidDel="00000000" w:rsidR="00000000" w:rsidRPr="00000000">
              <w:rPr>
                <w:rFonts w:ascii="Arial" w:cs="Arial" w:eastAsia="Arial" w:hAnsi="Arial"/>
                <w:rtl w:val="0"/>
              </w:rPr>
              <w:t xml:space="preserve">50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269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w:t>
            </w:r>
          </w:p>
        </w:tc>
      </w:tr>
      <w:tr>
        <w:trPr>
          <w:cantSplit w:val="0"/>
          <w:tblHeader w:val="0"/>
        </w:trPr>
        <w:tc>
          <w:tcPr>
            <w:shd w:fill="f2f2f2"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Additional:</w:t>
            </w:r>
          </w:p>
        </w:tc>
        <w:tc>
          <w:tcPr>
            <w:shd w:fill="f2f2f2"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Regular travel across Trust academies required and out of hours working.</w:t>
            </w:r>
          </w:p>
        </w:tc>
        <w:tc>
          <w:tcPr>
            <w:shd w:fill="f2f2f2"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Term:</w:t>
            </w:r>
          </w:p>
        </w:tc>
        <w:tc>
          <w:tcPr>
            <w:shd w:fill="f2f2f2"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37 Hrs / 52 Wks</w:t>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28175d"/>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Reporting directly to the Academy Principal the Academy Business Manager (BM) will lead on all areas of business services and be a member of the Senior Leadership Team to ensure that the academy meets its educational aims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28175d"/>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BM will promote the highest standards of business ethos and strategically ensure the most effective use of resources in support of the academy’s learning objectives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28175d"/>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BM will be responsible for Administration Management, Catering, Management Information and ICT, Risk and Critical Incident Management, Transactional Human Resource Management, Facility &amp; Property Management, Health &amp; Safety Management of the Academy</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JOB SUMMARY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widowControl w:val="0"/>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Leadership &amp; Strategy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 Senior Management / Leadership Team, full Academy Council and appropriate sub-committee meetings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Negotiate and influence strategic decision making within the academy Senior Management/Leadership Team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and manage change in accordance with Trust plans and procedures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lead and manage all academy support staff, carrying out performance management for nominated staff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widowControl w:val="0"/>
        <w:spacing w:after="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Administration Management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 the whole academy administrative function and lead all support staff</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and maintain administrative systems that deliver outcomes based on the academy’s aims and goals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 systems and link processes that interact across the academy to form complete systems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Define responsibilities, information and support for staff and other stakeholders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 process measures that are affordable and that will enable value for money decisions for those managing resources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and use effective methods to review and improve administrative systems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data analysis, evaluation and reporting systems to maximum effect by ensuring systems are streamlined to maximise efficiency and avoid duplication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Benchmark systems and information to assess trends and make appropriate recommendations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Prepare information for publications and returns for the Department for Education, Education and Skills Funding Agency and other agencies and stakeholders within statutory guidelines</w:t>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Management Information Systems &amp; ICT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the approach of the Trust Director of ICT for existing use and future plans to introduce or discard technology in the academy </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Consult with relevant Trust directors to introduce new technology or improve existing technology for different purposes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 the Trust’s strategy and relevant policies, including data protection for use of technology across the academy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systems to monitor and report on the performance of technology within the academy </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resources, support and training are provided to enable work colleagues to make the best use of available ICT including teaching, learning and assessment systems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Trust contingency plans are in place in the case of technology failure </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data collection systems providing information to stakeholders are streamlined to maximise efficiency of the data supplied </w:t>
      </w:r>
    </w:p>
    <w:p w:rsidR="00000000" w:rsidDel="00000000" w:rsidP="00000000" w:rsidRDefault="00000000" w:rsidRPr="00000000" w14:paraId="0000003B">
      <w:pPr>
        <w:widowControl w:val="0"/>
        <w:spacing w:after="0" w:lineRule="auto"/>
        <w:rPr>
          <w:rFonts w:ascii="MS Mincho" w:cs="MS Mincho" w:eastAsia="MS Mincho" w:hAnsi="MS Mincho"/>
          <w:color w:val="000000"/>
        </w:rPr>
      </w:pPr>
      <w:r w:rsidDel="00000000" w:rsidR="00000000" w:rsidRPr="00000000">
        <w:rPr>
          <w:rFonts w:ascii="Arial" w:cs="Arial" w:eastAsia="Arial" w:hAnsi="Arial"/>
          <w:b w:val="1"/>
          <w:bCs w:val="1"/>
          <w:color w:val="000000"/>
          <w:rtl w:val="0"/>
        </w:rPr>
        <w:t xml:space="preserve">Human Resource Management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embed and implement on behalf of the Deputy Chief Operating Officer all equality, recruitment, appraisal, staff development, grievance, disciplinary and redundancy policies and procedures to comply with legal and regulatory requirements </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Carry out low level disciplinary or grievance investigations where necessary, taking advice from the Trust HR function</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Lead on attendance management, carry out return to work interviews, monitor absence and carry out hearings and reviews for those meeting trigger points, taking advice from the HR function</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 recruitment, performance management, and development across the academy</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 the relevant legal, regulatory, ethical and social requirements and the effect they have on the academy and staff </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people have a clear understanding of the policies and procedures and the importance of putting them into practice </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 the way policies and procedures are actioned and provide support where necessary </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 an effective induction programme for new starters</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Seek and make use of specialist expertise in relation to HR issues </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Evaluate the academy’s strategic objectives and obtain information for workforce planning </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the types of skills, knowledge, understanding and experience required to </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undertake existing and future planned activities </w:t>
      </w:r>
    </w:p>
    <w:p w:rsidR="00000000" w:rsidDel="00000000" w:rsidP="00000000" w:rsidRDefault="00000000" w:rsidRPr="00000000" w14:paraId="0000004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Financial Resource Management </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Evaluate information, and consult with the Senior Team and Academy Councils</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manage with the Principal, the academy payroll and expenses / travel</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the Trust in achieving Value for Money and support fully Education Skills Funding Agency policies and guidance</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Advise Principal if fraudulent activities are suspected or uncovered </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additional finance required to fund the academy’s proposed activities </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Maximise income through lettings and other activities </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undertake financial transactional and support Internal Audit activity when necessary</w:t>
      </w:r>
      <w:r w:rsidDel="00000000" w:rsidR="00000000" w:rsidRPr="00000000">
        <w:rPr>
          <w:rtl w:val="0"/>
        </w:rPr>
      </w:r>
    </w:p>
    <w:p w:rsidR="00000000" w:rsidDel="00000000" w:rsidP="00000000" w:rsidRDefault="00000000" w:rsidRPr="00000000" w14:paraId="00000050">
      <w:pPr>
        <w:widowControl w:val="0"/>
        <w:spacing w:after="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Facility &amp; Property Management </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supervision of relevant planning and construction processes is undertaken in line with contractual obligations </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safe maintenance and security operation of all academy premises </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 the maintenance of the academy site including the purchase and repair of all furniture and fittings </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continuing availability of utilities, site services and equipment </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sound practices in estate management and grounds maintenance </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 assess and review contractual obligations for continuous value for money in all type of service delivery models</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a safe environment for the stakeholders of the academy to provide a secure environment in which due learning processes can be provided </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ancillary services e.g. catering, cleaning, etc., are monitored and managed effectively </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Oversee the letting of academy premises to external organisations, for the development of the extended services and local community requirements</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the Head of Finance in obtaining and maintaining professional advice on insurance and implement / manage such schemes accordingly</w:t>
      </w:r>
    </w:p>
    <w:p w:rsidR="00000000" w:rsidDel="00000000" w:rsidP="00000000" w:rsidRDefault="00000000" w:rsidRPr="00000000" w14:paraId="0000005B">
      <w:pPr>
        <w:widowControl w:val="0"/>
        <w:spacing w:after="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Health &amp; Safety </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 as the academy’s Health &amp; Safety Co-ordinator and Fire Officer</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instigate and maintain records of fire practices, alarm tests and incidents</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Trust written academy health &amp; safety policy statement is clearly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communicated and available to all people </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health &amp; safety policy is implemented at all times, put into practice and is subject to review and assessment at regular intervals or as situations change </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Enable regular consultation with people on health and safety issues </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Trust systems are in place to enable the identification of hazards and risk assessments </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Trust systems are in place for effective monitoring, measuring and reporting of health and safety issues to the Senior Team and where appropriate with the Trust Director of Estates the Health &amp; Safety Executive </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maximum level of security consistent with the ethos of the Trust / academy </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Oversee statutory obligations are being met for pupils with special educational needs, ensuring that financial and supporting agency services are adequate for their diverse needs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follow all safeguarding and child protection policies and procedures </w:t>
      </w:r>
    </w:p>
    <w:p w:rsidR="00000000" w:rsidDel="00000000" w:rsidP="00000000" w:rsidRDefault="00000000" w:rsidRPr="00000000" w14:paraId="00000069">
      <w:pPr>
        <w:shd w:fill="ffffff" w:val="clear"/>
        <w:spacing w:after="0" w:line="240"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GDPR/Information Security</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644"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Act as the GDPR lead in the academy and be the first point of contact in the academy for any matters relating to data protection</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644"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Be the assigned Information Asset Owner (IAO) in the academy for NET systems, e.g. Brom com. Understand what information is held, what is added and what is removed, how information is moved and who has access and why</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644"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Responsibility for delivering training to staff throughout the life cycle of their employment, including information governance compliance, e.g. GDPR; following up non-attendance at training</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644"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Ensure operational compliance with all policies, including the records management and retention policy</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644"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Report potential breaches to the Trust Data Protection Officer; maintaining a log and reporting appropriate information on the dashboard, presenting monthly at Business Services Meetings</w:t>
      </w:r>
    </w:p>
    <w:p w:rsidR="00000000" w:rsidDel="00000000" w:rsidP="00000000" w:rsidRDefault="00000000" w:rsidRPr="00000000" w14:paraId="0000006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836" w:top="70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Mincho"/>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75E43"/>
    <w:pPr>
      <w:spacing w:after="0" w:line="240" w:lineRule="auto"/>
    </w:pPr>
  </w:style>
  <w:style w:type="table" w:styleId="TableGrid">
    <w:name w:val="Table Grid"/>
    <w:basedOn w:val="TableNormal"/>
    <w:uiPriority w:val="39"/>
    <w:rsid w:val="00775E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qFormat w:val="1"/>
    <w:rsid w:val="00775E43"/>
    <w:pPr>
      <w:widowControl w:val="0"/>
      <w:autoSpaceDE w:val="0"/>
      <w:autoSpaceDN w:val="0"/>
      <w:spacing w:after="0" w:line="240" w:lineRule="auto"/>
      <w:ind w:left="695" w:hanging="576"/>
    </w:pPr>
    <w:rPr>
      <w:rFonts w:ascii="Calibri" w:cs="Calibri" w:eastAsia="Calibri" w:hAnsi="Calibri"/>
      <w:lang w:val="en-US"/>
    </w:rPr>
  </w:style>
  <w:style w:type="character" w:styleId="BodyTextChar" w:customStyle="1">
    <w:name w:val="Body Text Char"/>
    <w:basedOn w:val="DefaultParagraphFont"/>
    <w:link w:val="BodyText"/>
    <w:uiPriority w:val="1"/>
    <w:rsid w:val="00775E43"/>
    <w:rPr>
      <w:rFonts w:ascii="Calibri" w:cs="Calibri" w:eastAsia="Calibri" w:hAnsi="Calibri"/>
      <w:lang w:val="en-US"/>
    </w:rPr>
  </w:style>
  <w:style w:type="paragraph" w:styleId="ListParagraph">
    <w:name w:val="List Paragraph"/>
    <w:basedOn w:val="Normal"/>
    <w:uiPriority w:val="34"/>
    <w:qFormat w:val="1"/>
    <w:rsid w:val="00A30F30"/>
    <w:pPr>
      <w:ind w:left="720"/>
      <w:contextualSpacing w:val="1"/>
    </w:pPr>
  </w:style>
  <w:style w:type="character" w:styleId="CommentReference">
    <w:name w:val="annotation reference"/>
    <w:basedOn w:val="DefaultParagraphFont"/>
    <w:uiPriority w:val="99"/>
    <w:semiHidden w:val="1"/>
    <w:unhideWhenUsed w:val="1"/>
    <w:rsid w:val="005941CE"/>
    <w:rPr>
      <w:sz w:val="18"/>
      <w:szCs w:val="18"/>
    </w:rPr>
  </w:style>
  <w:style w:type="paragraph" w:styleId="CommentText">
    <w:name w:val="annotation text"/>
    <w:basedOn w:val="Normal"/>
    <w:link w:val="CommentTextChar"/>
    <w:uiPriority w:val="99"/>
    <w:semiHidden w:val="1"/>
    <w:unhideWhenUsed w:val="1"/>
    <w:rsid w:val="005941CE"/>
    <w:pPr>
      <w:spacing w:line="240" w:lineRule="auto"/>
    </w:pPr>
    <w:rPr>
      <w:sz w:val="24"/>
      <w:szCs w:val="24"/>
    </w:rPr>
  </w:style>
  <w:style w:type="character" w:styleId="CommentTextChar" w:customStyle="1">
    <w:name w:val="Comment Text Char"/>
    <w:basedOn w:val="DefaultParagraphFont"/>
    <w:link w:val="CommentText"/>
    <w:uiPriority w:val="99"/>
    <w:semiHidden w:val="1"/>
    <w:rsid w:val="005941CE"/>
    <w:rPr>
      <w:sz w:val="24"/>
      <w:szCs w:val="24"/>
    </w:rPr>
  </w:style>
  <w:style w:type="paragraph" w:styleId="CommentSubject">
    <w:name w:val="annotation subject"/>
    <w:basedOn w:val="CommentText"/>
    <w:next w:val="CommentText"/>
    <w:link w:val="CommentSubjectChar"/>
    <w:uiPriority w:val="99"/>
    <w:semiHidden w:val="1"/>
    <w:unhideWhenUsed w:val="1"/>
    <w:rsid w:val="005941CE"/>
    <w:rPr>
      <w:b w:val="1"/>
      <w:bCs w:val="1"/>
      <w:sz w:val="20"/>
      <w:szCs w:val="20"/>
    </w:rPr>
  </w:style>
  <w:style w:type="character" w:styleId="CommentSubjectChar" w:customStyle="1">
    <w:name w:val="Comment Subject Char"/>
    <w:basedOn w:val="CommentTextChar"/>
    <w:link w:val="CommentSubject"/>
    <w:uiPriority w:val="99"/>
    <w:semiHidden w:val="1"/>
    <w:rsid w:val="005941CE"/>
    <w:rPr>
      <w:b w:val="1"/>
      <w:bCs w:val="1"/>
      <w:sz w:val="20"/>
      <w:szCs w:val="20"/>
    </w:rPr>
  </w:style>
  <w:style w:type="paragraph" w:styleId="BalloonText">
    <w:name w:val="Balloon Text"/>
    <w:basedOn w:val="Normal"/>
    <w:link w:val="BalloonTextChar"/>
    <w:uiPriority w:val="99"/>
    <w:semiHidden w:val="1"/>
    <w:unhideWhenUsed w:val="1"/>
    <w:rsid w:val="005941CE"/>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5941CE"/>
    <w:rPr>
      <w:rFonts w:ascii="Times New Roman" w:cs="Times New Roman" w:hAnsi="Times New Roman"/>
      <w:sz w:val="18"/>
      <w:szCs w:val="18"/>
    </w:rPr>
  </w:style>
  <w:style w:type="paragraph" w:styleId="Header">
    <w:name w:val="header"/>
    <w:basedOn w:val="Normal"/>
    <w:link w:val="HeaderChar"/>
    <w:uiPriority w:val="99"/>
    <w:unhideWhenUsed w:val="1"/>
    <w:rsid w:val="00847B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7B73"/>
  </w:style>
  <w:style w:type="paragraph" w:styleId="Footer">
    <w:name w:val="footer"/>
    <w:basedOn w:val="Normal"/>
    <w:link w:val="FooterChar"/>
    <w:uiPriority w:val="99"/>
    <w:unhideWhenUsed w:val="1"/>
    <w:rsid w:val="00847B73"/>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7B73"/>
  </w:style>
  <w:style w:type="table" w:styleId="Table1">
    <w:basedOn w:val="TableNormal"/>
    <w:pPr>
      <w:spacing w:after="0" w:line="240" w:lineRule="auto"/>
    </w:pPr>
    <w:tblPr>
      <w:tblStyleRowBandSize w:val="1"/>
      <w:tblStyleColBandSize w:val="1"/>
      <w:tblCellMar>
        <w:top w:w="113.0" w:type="dxa"/>
        <w:left w:w="108.0" w:type="dxa"/>
        <w:bottom w:w="113.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9j3e1Lix289GUL/eNnMDG0A1hA==">CgMxLjA4AHIhMXVYY3VYVy15N3ZCM1ctS0VLSXhXTXlTWWw5dFhZNUFY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2024-11-21T12:09:00Z</dcterms:created>
  <dc:creator>Armstrong, Luke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