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both"/>
        <w:rPr/>
      </w:pPr>
      <w:r>
        <w:rPr/>
      </w:r>
    </w:p>
    <w:tbl>
      <w:tblPr>
        <w:tblW w:w="10211" w:type="dxa"/>
        <w:jc w:val="left"/>
        <w:tblInd w:w="0" w:type="dxa"/>
        <w:tblCellMar>
          <w:top w:w="0" w:type="dxa"/>
          <w:left w:w="108" w:type="dxa"/>
          <w:bottom w:w="0" w:type="dxa"/>
          <w:right w:w="108" w:type="dxa"/>
        </w:tblCellMar>
      </w:tblPr>
      <w:tblGrid>
        <w:gridCol w:w="3256"/>
        <w:gridCol w:w="2835"/>
        <w:gridCol w:w="4120"/>
      </w:tblGrid>
      <w:tr>
        <w:trPr>
          <w:trHeight w:val="260" w:hRule="atLeast"/>
        </w:trPr>
        <w:tc>
          <w:tcPr>
            <w:tcW w:w="3256" w:type="dxa"/>
            <w:tcBorders>
              <w:top w:val="single" w:sz="4" w:space="0" w:color="000000"/>
              <w:left w:val="single" w:sz="4" w:space="0" w:color="000000"/>
              <w:bottom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Role</w:t>
            </w:r>
          </w:p>
        </w:tc>
        <w:tc>
          <w:tcPr>
            <w:tcW w:w="2835" w:type="dxa"/>
            <w:tcBorders>
              <w:top w:val="single" w:sz="4" w:space="0" w:color="000000"/>
              <w:left w:val="single" w:sz="4" w:space="0" w:color="000000"/>
              <w:bottom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Grade</w:t>
            </w:r>
          </w:p>
        </w:tc>
        <w:tc>
          <w:tcPr>
            <w:tcW w:w="4120"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Reports to</w:t>
            </w:r>
          </w:p>
        </w:tc>
      </w:tr>
      <w:tr>
        <w:trPr>
          <w:trHeight w:val="276" w:hRule="atLeast"/>
        </w:trPr>
        <w:tc>
          <w:tcPr>
            <w:tcW w:w="3256" w:type="dxa"/>
            <w:tcBorders>
              <w:top w:val="single" w:sz="4" w:space="0" w:color="000000"/>
              <w:left w:val="single" w:sz="4" w:space="0" w:color="000000"/>
              <w:bottom w:val="single" w:sz="4" w:space="0" w:color="000000"/>
            </w:tcBorders>
            <w:shd w:fill="auto" w:val="clear"/>
          </w:tcPr>
          <w:p>
            <w:pPr>
              <w:pStyle w:val="Normal"/>
              <w:tabs>
                <w:tab w:val="clear" w:pos="720"/>
                <w:tab w:val="left" w:pos="480" w:leader="none"/>
              </w:tabs>
              <w:spacing w:lineRule="auto" w:line="276"/>
              <w:rPr>
                <w:rFonts w:ascii="Calibri" w:hAnsi="Calibri" w:cs="Calibri"/>
              </w:rPr>
            </w:pPr>
            <w:r>
              <w:rPr>
                <w:rFonts w:cs="Calibri" w:ascii="Calibri" w:hAnsi="Calibri"/>
              </w:rPr>
              <w:tab/>
              <w:t>Catering Assistant</w:t>
            </w:r>
          </w:p>
        </w:tc>
        <w:tc>
          <w:tcPr>
            <w:tcW w:w="2835" w:type="dxa"/>
            <w:tcBorders>
              <w:top w:val="single" w:sz="4" w:space="0" w:color="000000"/>
              <w:left w:val="single" w:sz="4" w:space="0" w:color="000000"/>
              <w:bottom w:val="single" w:sz="4" w:space="0" w:color="000000"/>
            </w:tcBorders>
            <w:shd w:fill="auto" w:val="clear"/>
          </w:tcPr>
          <w:p>
            <w:pPr>
              <w:pStyle w:val="Normal"/>
              <w:spacing w:lineRule="auto" w:line="276"/>
              <w:jc w:val="center"/>
              <w:rPr>
                <w:rFonts w:ascii="Calibri" w:hAnsi="Calibri" w:cs="Calibri"/>
              </w:rPr>
            </w:pPr>
            <w:r>
              <w:rPr>
                <w:rFonts w:cs="Calibri" w:ascii="Calibri" w:hAnsi="Calibri"/>
              </w:rPr>
              <w:t>Grade 2</w:t>
            </w:r>
          </w:p>
        </w:tc>
        <w:tc>
          <w:tcPr>
            <w:tcW w:w="412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jc w:val="center"/>
              <w:rPr>
                <w:rFonts w:ascii="Calibri" w:hAnsi="Calibri" w:cs="Calibri"/>
              </w:rPr>
            </w:pPr>
            <w:r>
              <w:rPr>
                <w:rFonts w:cs="Calibri" w:ascii="Calibri" w:hAnsi="Calibri"/>
              </w:rPr>
              <w:t>School Catering Manager</w:t>
            </w:r>
          </w:p>
        </w:tc>
      </w:tr>
    </w:tbl>
    <w:p>
      <w:pPr>
        <w:pStyle w:val="Normal"/>
        <w:spacing w:before="280" w:after="280"/>
        <w:jc w:val="both"/>
        <w:rPr>
          <w:rFonts w:ascii="Calibri" w:hAnsi="Calibri" w:cs="Calibri"/>
        </w:rPr>
      </w:pPr>
      <w:r>
        <w:rPr>
          <w:rFonts w:cs="Calibri" w:ascii="Calibri" w:hAnsi="Calibri"/>
        </w:rPr>
        <w:t xml:space="preserve">The Catering Team is responsible for delivering an outstanding catering service to our schools, supporting the Trust in its teaching and wider operations by ensuring students and staff are provided with excellent customer service and high quality, nutritious meals to support a healthy learning environment.  </w:t>
      </w:r>
    </w:p>
    <w:p>
      <w:pPr>
        <w:pStyle w:val="Normal"/>
        <w:spacing w:lineRule="auto" w:line="276"/>
        <w:rPr>
          <w:rFonts w:ascii="Calibri" w:hAnsi="Calibri" w:cs="Calibri"/>
          <w:b/>
          <w:b/>
          <w:u w:val="single"/>
        </w:rPr>
      </w:pPr>
      <w:r>
        <w:rPr>
          <w:rFonts w:cs="Calibri" w:ascii="Calibri" w:hAnsi="Calibri"/>
          <w:b/>
          <w:u w:val="single"/>
        </w:rPr>
        <w:t>Main purpose of the job:</w:t>
      </w:r>
    </w:p>
    <w:p>
      <w:pPr>
        <w:pStyle w:val="DefaultText"/>
        <w:widowControl w:val="false"/>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uppressAutoHyphens w:val="true"/>
        <w:rPr>
          <w:rFonts w:ascii="Calibri" w:hAnsi="Calibri" w:cs="Calibri"/>
          <w:sz w:val="22"/>
          <w:szCs w:val="22"/>
        </w:rPr>
      </w:pPr>
      <w:r>
        <w:rPr>
          <w:rFonts w:cs="Calibri" w:ascii="Calibri" w:hAnsi="Calibri"/>
          <w:sz w:val="22"/>
          <w:szCs w:val="22"/>
        </w:rPr>
        <w:t>To work as part of the Team and contribute to the achievement of its objectives, providing an effective and efficient catering service. This includes preparing and serving food, maintaining the associated catering areas in accordance with food hygiene regulations.</w:t>
      </w:r>
    </w:p>
    <w:p>
      <w:pPr>
        <w:pStyle w:val="Normal"/>
        <w:spacing w:lineRule="auto" w:line="276"/>
        <w:rPr>
          <w:rFonts w:ascii="Calibri" w:hAnsi="Calibri" w:cs="Calibri"/>
          <w:b/>
          <w:b/>
        </w:rPr>
      </w:pPr>
      <w:r>
        <w:rPr>
          <w:rFonts w:cs="Calibri" w:ascii="Calibri" w:hAnsi="Calibri"/>
          <w:b/>
        </w:rPr>
      </w:r>
    </w:p>
    <w:p>
      <w:pPr>
        <w:pStyle w:val="Normal"/>
        <w:spacing w:lineRule="auto" w:line="276"/>
        <w:rPr>
          <w:rFonts w:ascii="Calibri" w:hAnsi="Calibri" w:cs="Calibri"/>
          <w:b/>
          <w:b/>
          <w:u w:val="single"/>
        </w:rPr>
      </w:pPr>
      <w:r>
        <w:rPr>
          <w:rFonts w:cs="Calibri" w:ascii="Calibri" w:hAnsi="Calibri"/>
          <w:b/>
          <w:u w:val="single"/>
        </w:rPr>
        <w:t>Key relationships:</w:t>
      </w:r>
    </w:p>
    <w:p>
      <w:pPr>
        <w:pStyle w:val="Normal"/>
        <w:spacing w:lineRule="auto" w:line="276"/>
        <w:jc w:val="both"/>
        <w:rPr>
          <w:rFonts w:ascii="Calibri" w:hAnsi="Calibri" w:cs="Calibri"/>
        </w:rPr>
      </w:pPr>
      <w:r>
        <w:rPr>
          <w:rFonts w:cs="Calibri" w:ascii="Calibri" w:hAnsi="Calibri"/>
        </w:rPr>
        <w:t>The post holder will report to the School Catering Manager and work closely with catering team members and lunchtime organisers.</w:t>
      </w:r>
    </w:p>
    <w:p>
      <w:pPr>
        <w:pStyle w:val="Normal"/>
        <w:spacing w:lineRule="auto" w:line="276"/>
        <w:jc w:val="both"/>
        <w:rPr>
          <w:rFonts w:ascii="Calibri" w:hAnsi="Calibri" w:cs="Calibri"/>
          <w:b/>
          <w:b/>
          <w:u w:val="single"/>
        </w:rPr>
      </w:pPr>
      <w:r>
        <w:rPr>
          <w:rFonts w:cs="Calibri" w:ascii="Calibri" w:hAnsi="Calibri"/>
          <w:b/>
          <w:u w:val="single"/>
        </w:rPr>
      </w:r>
    </w:p>
    <w:p>
      <w:pPr>
        <w:pStyle w:val="Normal"/>
        <w:spacing w:lineRule="auto" w:line="276"/>
        <w:jc w:val="both"/>
        <w:rPr>
          <w:rFonts w:ascii="Calibri" w:hAnsi="Calibri" w:cs="Calibri"/>
          <w:b/>
          <w:b/>
          <w:bCs/>
        </w:rPr>
      </w:pPr>
      <w:r>
        <w:rPr>
          <w:rFonts w:cs="Calibri" w:ascii="Calibri" w:hAnsi="Calibri"/>
          <w:b/>
          <w:bCs/>
        </w:rPr>
        <w:t>Please note that whilst this job description gives an indication of the key responsibilities, it is not intended to provide an exhaustive list.</w:t>
      </w:r>
    </w:p>
    <w:p>
      <w:pPr>
        <w:pStyle w:val="Normal"/>
        <w:spacing w:lineRule="auto" w:line="276"/>
        <w:jc w:val="both"/>
        <w:rPr>
          <w:rFonts w:ascii="Calibri" w:hAnsi="Calibri" w:cs="Calibri"/>
          <w:b/>
          <w:b/>
          <w:bCs/>
        </w:rPr>
      </w:pPr>
      <w:r>
        <w:rPr>
          <w:rFonts w:cs="Calibri" w:ascii="Calibri" w:hAnsi="Calibri"/>
          <w:b/>
          <w:bCs/>
        </w:rPr>
      </w:r>
    </w:p>
    <w:p>
      <w:pPr>
        <w:pStyle w:val="Normal"/>
        <w:spacing w:lineRule="auto" w:line="276"/>
        <w:jc w:val="both"/>
        <w:rPr>
          <w:rFonts w:ascii="Calibri" w:hAnsi="Calibri" w:cs="Calibri"/>
          <w:b/>
          <w:b/>
          <w:bCs/>
          <w:u w:val="single"/>
        </w:rPr>
      </w:pPr>
      <w:r>
        <w:rPr>
          <w:rFonts w:cs="Calibri" w:ascii="Calibri" w:hAnsi="Calibri"/>
          <w:b/>
          <w:bCs/>
          <w:u w:val="single"/>
        </w:rPr>
        <w:t>Main accountabilities:</w:t>
      </w:r>
    </w:p>
    <w:p>
      <w:pPr>
        <w:pStyle w:val="Normal"/>
        <w:spacing w:lineRule="auto" w:line="276"/>
        <w:jc w:val="both"/>
        <w:rPr>
          <w:rFonts w:ascii="Calibri" w:hAnsi="Calibri" w:cs="Calibri"/>
          <w:b/>
          <w:b/>
          <w:bCs/>
        </w:rPr>
      </w:pPr>
      <w:r>
        <w:rPr>
          <w:rFonts w:cs="Calibri" w:ascii="Calibri" w:hAnsi="Calibri"/>
          <w:b/>
          <w:bCs/>
        </w:rPr>
      </w:r>
    </w:p>
    <w:p>
      <w:pPr>
        <w:pStyle w:val="DefaultText"/>
        <w:numPr>
          <w:ilvl w:val="0"/>
          <w:numId w:val="2"/>
        </w:numPr>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uppressAutoHyphens w:val="true"/>
        <w:rPr>
          <w:rFonts w:ascii="Calibri" w:hAnsi="Calibri" w:cs="Calibri"/>
          <w:sz w:val="22"/>
          <w:szCs w:val="22"/>
        </w:rPr>
      </w:pPr>
      <w:r>
        <w:rPr>
          <w:rFonts w:cs="Calibri" w:ascii="Calibri" w:hAnsi="Calibri"/>
          <w:sz w:val="22"/>
          <w:szCs w:val="22"/>
        </w:rPr>
        <w:t xml:space="preserve">A requirement to be involved in food preparation, make sandwiches and work the tills </w:t>
      </w:r>
    </w:p>
    <w:p>
      <w:pPr>
        <w:pStyle w:val="DefaultText"/>
        <w:numPr>
          <w:ilvl w:val="0"/>
          <w:numId w:val="2"/>
        </w:numPr>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uppressAutoHyphens w:val="true"/>
        <w:rPr>
          <w:rFonts w:ascii="Calibri" w:hAnsi="Calibri" w:cs="Calibri"/>
          <w:sz w:val="22"/>
          <w:szCs w:val="22"/>
        </w:rPr>
      </w:pPr>
      <w:r>
        <w:rPr>
          <w:rFonts w:cs="Calibri" w:ascii="Calibri" w:hAnsi="Calibri"/>
          <w:sz w:val="22"/>
          <w:szCs w:val="22"/>
        </w:rPr>
        <w:t>Assist with the preparation, setting up and serving of meals in line with food hygiene regulations.</w:t>
      </w:r>
    </w:p>
    <w:p>
      <w:pPr>
        <w:pStyle w:val="DefaultText"/>
        <w:numPr>
          <w:ilvl w:val="0"/>
          <w:numId w:val="2"/>
        </w:numPr>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uppressAutoHyphens w:val="true"/>
        <w:rPr>
          <w:rFonts w:ascii="Calibri" w:hAnsi="Calibri" w:cs="Calibri"/>
          <w:sz w:val="22"/>
          <w:szCs w:val="22"/>
        </w:rPr>
      </w:pPr>
      <w:r>
        <w:rPr>
          <w:rFonts w:cs="Calibri" w:ascii="Calibri" w:hAnsi="Calibri"/>
          <w:sz w:val="22"/>
          <w:szCs w:val="22"/>
        </w:rPr>
        <w:t>Clean kitchen equipment and dining furniture as required in designated areas.</w:t>
      </w:r>
    </w:p>
    <w:p>
      <w:pPr>
        <w:pStyle w:val="DefaultText"/>
        <w:numPr>
          <w:ilvl w:val="0"/>
          <w:numId w:val="2"/>
        </w:numPr>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uppressAutoHyphens w:val="true"/>
        <w:rPr>
          <w:rFonts w:ascii="Calibri" w:hAnsi="Calibri" w:cs="Calibri"/>
          <w:sz w:val="22"/>
          <w:szCs w:val="22"/>
        </w:rPr>
      </w:pPr>
      <w:r>
        <w:rPr>
          <w:rFonts w:cs="Calibri" w:ascii="Calibri" w:hAnsi="Calibri"/>
          <w:sz w:val="22"/>
          <w:szCs w:val="22"/>
        </w:rPr>
        <w:t>Assist with the moving and setting up of dining furniture in designated areas.</w:t>
      </w:r>
    </w:p>
    <w:p>
      <w:pPr>
        <w:pStyle w:val="DefaultText"/>
        <w:numPr>
          <w:ilvl w:val="0"/>
          <w:numId w:val="2"/>
        </w:numPr>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uppressAutoHyphens w:val="true"/>
        <w:rPr>
          <w:rFonts w:ascii="Calibri" w:hAnsi="Calibri" w:cs="Calibri"/>
          <w:sz w:val="22"/>
          <w:szCs w:val="22"/>
        </w:rPr>
      </w:pPr>
      <w:r>
        <w:rPr>
          <w:rFonts w:cs="Calibri" w:ascii="Calibri" w:hAnsi="Calibri"/>
          <w:sz w:val="22"/>
          <w:szCs w:val="22"/>
        </w:rPr>
        <w:t>Ensure compliance with food hygiene and COSSH (Control of Substances Hazardous to Health) regulations at all times.</w:t>
      </w:r>
    </w:p>
    <w:p>
      <w:pPr>
        <w:pStyle w:val="DefaultText"/>
        <w:numPr>
          <w:ilvl w:val="0"/>
          <w:numId w:val="2"/>
        </w:numPr>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uppressAutoHyphens w:val="true"/>
        <w:rPr>
          <w:rFonts w:ascii="Calibri" w:hAnsi="Calibri" w:cs="Calibri"/>
          <w:sz w:val="22"/>
          <w:szCs w:val="22"/>
        </w:rPr>
      </w:pPr>
      <w:r>
        <w:rPr>
          <w:rFonts w:cs="Calibri" w:ascii="Calibri" w:hAnsi="Calibri"/>
          <w:sz w:val="22"/>
          <w:szCs w:val="22"/>
        </w:rPr>
        <w:t>Provide a customer focused services, which is courteous and responsive and meets the needs of the customers at all times.</w:t>
      </w:r>
    </w:p>
    <w:p>
      <w:pPr>
        <w:pStyle w:val="DefaultText"/>
        <w:numPr>
          <w:ilvl w:val="0"/>
          <w:numId w:val="2"/>
        </w:numPr>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uppressAutoHyphens w:val="true"/>
        <w:rPr>
          <w:rFonts w:ascii="Calibri" w:hAnsi="Calibri" w:cs="Calibri"/>
          <w:sz w:val="22"/>
          <w:szCs w:val="22"/>
        </w:rPr>
      </w:pPr>
      <w:r>
        <w:rPr>
          <w:rFonts w:cs="Calibri" w:ascii="Calibri" w:hAnsi="Calibri"/>
          <w:sz w:val="22"/>
          <w:szCs w:val="22"/>
        </w:rPr>
        <w:t>Support the team in promoting equal opportunities in the workplace and delivering services, which are accessible and appropriate to the diverse needs of service users.</w:t>
      </w:r>
    </w:p>
    <w:p>
      <w:pPr>
        <w:pStyle w:val="DefaultText"/>
        <w:numPr>
          <w:ilvl w:val="0"/>
          <w:numId w:val="2"/>
        </w:numPr>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uppressAutoHyphens w:val="true"/>
        <w:rPr>
          <w:rFonts w:ascii="Calibri" w:hAnsi="Calibri" w:cs="Calibri"/>
          <w:sz w:val="22"/>
          <w:szCs w:val="22"/>
        </w:rPr>
      </w:pPr>
      <w:r>
        <w:rPr>
          <w:rFonts w:cs="Calibri" w:ascii="Calibri" w:hAnsi="Calibri"/>
          <w:sz w:val="22"/>
          <w:szCs w:val="22"/>
        </w:rPr>
        <w:t>Actively pursue own personal development and take full advantage of training provided.</w:t>
      </w:r>
    </w:p>
    <w:p>
      <w:pPr>
        <w:pStyle w:val="DefaultText"/>
        <w:numPr>
          <w:ilvl w:val="0"/>
          <w:numId w:val="2"/>
        </w:numPr>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uppressAutoHyphens w:val="true"/>
        <w:rPr>
          <w:rFonts w:ascii="Calibri" w:hAnsi="Calibri" w:cs="Calibri"/>
          <w:sz w:val="22"/>
          <w:szCs w:val="22"/>
        </w:rPr>
      </w:pPr>
      <w:r>
        <w:rPr>
          <w:rFonts w:cs="Calibri" w:ascii="Calibri" w:hAnsi="Calibri"/>
          <w:sz w:val="22"/>
          <w:szCs w:val="22"/>
        </w:rPr>
        <w:t>Undertake such duties as may be considered appropriate by the School Catering Manager in line with the needs of the service.</w:t>
      </w:r>
    </w:p>
    <w:p>
      <w:pPr>
        <w:pStyle w:val="Normal"/>
        <w:widowControl/>
        <w:spacing w:before="0" w:after="60"/>
        <w:ind w:left="0" w:right="318" w:hanging="0"/>
        <w:rPr>
          <w:rFonts w:ascii="Calibri" w:hAnsi="Calibri" w:eastAsia="Times New Roman" w:cs="Calibri"/>
          <w:color w:val="000000"/>
          <w:lang w:eastAsia="en-GB" w:bidi="ar-SA"/>
        </w:rPr>
      </w:pPr>
      <w:r>
        <w:rPr>
          <w:rFonts w:eastAsia="Times New Roman" w:cs="Calibri" w:ascii="Calibri" w:hAnsi="Calibri"/>
          <w:color w:val="000000"/>
          <w:lang w:eastAsia="en-GB" w:bidi="ar-SA"/>
        </w:rPr>
      </w:r>
    </w:p>
    <w:p>
      <w:pPr>
        <w:pStyle w:val="Normal"/>
        <w:spacing w:lineRule="auto" w:line="276"/>
        <w:jc w:val="both"/>
        <w:rPr>
          <w:rFonts w:ascii="Calibri" w:hAnsi="Calibri" w:cs="Calibri"/>
          <w:b/>
          <w:b/>
          <w:bCs/>
        </w:rPr>
      </w:pPr>
      <w:r>
        <w:rPr>
          <w:rFonts w:cs="Calibri" w:ascii="Calibri" w:hAnsi="Calibri"/>
          <w:b/>
          <w:bCs/>
        </w:rPr>
        <w:t>All employees in the Trust are expected to:</w:t>
      </w:r>
    </w:p>
    <w:p>
      <w:pPr>
        <w:pStyle w:val="ListParagraph"/>
        <w:widowControl/>
        <w:numPr>
          <w:ilvl w:val="0"/>
          <w:numId w:val="2"/>
        </w:numPr>
        <w:spacing w:before="0" w:after="60"/>
        <w:ind w:left="714" w:right="318" w:hanging="357"/>
        <w:jc w:val="left"/>
        <w:rPr/>
      </w:pPr>
      <w:r>
        <w:rPr>
          <w:rFonts w:eastAsia="Times New Roman" w:cs="Calibri" w:ascii="Calibri" w:hAnsi="Calibri"/>
          <w:color w:val="000000"/>
          <w:lang w:eastAsia="en-GB" w:bidi="ar-SA"/>
        </w:rPr>
        <w:t xml:space="preserve">Support the vision, values and objectives of the Trust and demonstrate a collaborative, team working approach to school and Trust improvement: </w:t>
      </w:r>
      <w:r>
        <w:rPr>
          <w:rStyle w:val="InternetLink"/>
          <w:rFonts w:eastAsia="Times New Roman" w:cs="Calibri" w:ascii="Calibri" w:hAnsi="Calibri"/>
          <w:lang w:eastAsia="en-GB" w:bidi="ar-SA"/>
        </w:rPr>
        <w:t>Vision, Values and Strategy - Prospere Learning Trust</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Take appropriate responsibility and action for safeguarding, be aware of confidential issues and maintain as appropriate</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Be aware of and comply with policies and procedures relating to child protection reporting all concerns to an appropriate person</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Promote and act in accordance with the Code of Conduct and all school / Trust policies including the  Health and Safety Policy, Equality Policy and Data Protection Policy</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Effectively represent the Trust when liaising with contractors and outside agencies/organisations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Demonstrate tact and diplomacy in all interpersonal relationships with the public, pupils, parents and colleagues</w:t>
      </w:r>
    </w:p>
    <w:p>
      <w:pPr>
        <w:pStyle w:val="ListParagraph"/>
        <w:widowControl/>
        <w:numPr>
          <w:ilvl w:val="0"/>
          <w:numId w:val="2"/>
        </w:numPr>
        <w:spacing w:before="0" w:after="60"/>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Take responsibility for personal professional growth and development, keeping up-to-date with national research, engaging proactively with nationally recognised career frameworks and professional organisations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Attend Trust and school events as required and make a positive contribution during such events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Attend regular meetings before and after Trust hours, including morning briefings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Carry out duties other than those listed in the job description under the direction of the headteacher where the post holder has appropriate qualifications and has received appropriate training</w:t>
      </w:r>
    </w:p>
    <w:p>
      <w:pPr>
        <w:pStyle w:val="ListParagraph"/>
        <w:spacing w:lineRule="auto" w:line="276"/>
        <w:ind w:left="720" w:right="320" w:hanging="0"/>
        <w:rPr>
          <w:rFonts w:ascii="Calibri" w:hAnsi="Calibri" w:eastAsia="Times New Roman" w:cs="Calibri"/>
          <w:color w:val="000000"/>
          <w:lang w:eastAsia="en-GB" w:bidi="ar-SA"/>
        </w:rPr>
      </w:pPr>
      <w:r>
        <w:rPr>
          <w:rFonts w:eastAsia="Times New Roman" w:cs="Calibri" w:ascii="Calibri" w:hAnsi="Calibri"/>
          <w:color w:val="000000"/>
          <w:lang w:eastAsia="en-GB" w:bidi="ar-SA"/>
        </w:rPr>
      </w:r>
    </w:p>
    <w:p>
      <w:pPr>
        <w:pStyle w:val="Normal"/>
        <w:spacing w:lineRule="auto" w:line="276"/>
        <w:jc w:val="both"/>
        <w:rPr>
          <w:rFonts w:ascii="Calibri" w:hAnsi="Calibri" w:cs="Calibri"/>
        </w:rPr>
      </w:pPr>
      <w:r>
        <w:rPr>
          <w:rFonts w:cs="Calibri" w:ascii="Calibri" w:hAnsi="Calibri"/>
        </w:rPr>
        <w:t>The Trust will endeavour to make any necessary reasonable adjustments to the job and the working environment to enable access to employment opportunities for disabled job applicants or continued employment for any employee who develops a disabling condition.</w:t>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rPr>
          <w:rFonts w:ascii="Calibri" w:hAnsi="Calibri" w:cs="Calibri"/>
          <w:b/>
          <w:b/>
          <w:bCs/>
          <w:color w:val="FF0000"/>
        </w:rPr>
      </w:pPr>
      <w:r>
        <w:rPr>
          <w:rFonts w:cs="Calibri" w:ascii="Calibri" w:hAnsi="Calibri"/>
          <w:b/>
          <w:bCs/>
          <w:color w:val="FF0000"/>
        </w:rPr>
      </w:r>
    </w:p>
    <w:p>
      <w:pPr>
        <w:pStyle w:val="Normal"/>
        <w:spacing w:lineRule="auto" w:line="276"/>
        <w:jc w:val="both"/>
        <w:rPr>
          <w:rFonts w:ascii="Calibri" w:hAnsi="Calibri" w:cs="Calibri"/>
          <w:b/>
          <w:b/>
          <w:bCs/>
          <w:color w:val="FF0000"/>
        </w:rPr>
      </w:pPr>
      <w:r>
        <w:rPr>
          <w:rFonts w:cs="Calibri" w:ascii="Calibri" w:hAnsi="Calibri"/>
          <w:b/>
          <w:bCs/>
          <w:color w:val="FF0000"/>
        </w:rPr>
      </w:r>
    </w:p>
    <w:p>
      <w:pPr>
        <w:pStyle w:val="Normal"/>
        <w:spacing w:lineRule="auto" w:line="276"/>
        <w:jc w:val="both"/>
        <w:rPr>
          <w:rFonts w:ascii="Calibri" w:hAnsi="Calibri" w:cs="Calibri"/>
          <w:b/>
          <w:b/>
        </w:rPr>
      </w:pPr>
      <w:r>
        <w:rPr>
          <w:rFonts w:cs="Calibri" w:ascii="Calibri" w:hAnsi="Calibri"/>
          <w:b/>
        </w:rPr>
      </w:r>
    </w:p>
    <w:p>
      <w:pPr>
        <w:pStyle w:val="Normal"/>
        <w:spacing w:lineRule="auto" w:line="276"/>
        <w:jc w:val="both"/>
        <w:rPr>
          <w:rFonts w:ascii="Calibri" w:hAnsi="Calibri" w:cs="Calibri"/>
          <w:b/>
          <w:b/>
        </w:rPr>
      </w:pPr>
      <w:r>
        <w:rPr>
          <w:rFonts w:cs="Calibri" w:ascii="Calibri" w:hAnsi="Calibri"/>
          <w:b/>
        </w:rPr>
      </w:r>
    </w:p>
    <w:p>
      <w:pPr>
        <w:pStyle w:val="Normal"/>
        <w:spacing w:lineRule="auto" w:line="276"/>
        <w:jc w:val="both"/>
        <w:rPr>
          <w:rFonts w:ascii="Calibri" w:hAnsi="Calibri" w:cs="Calibri"/>
          <w:b/>
          <w:b/>
        </w:rPr>
      </w:pPr>
      <w:r>
        <w:rPr>
          <w:rFonts w:cs="Calibri" w:ascii="Calibri" w:hAnsi="Calibri"/>
          <w:b/>
        </w:rPr>
      </w:r>
    </w:p>
    <w:tbl>
      <w:tblPr>
        <w:tblW w:w="10541" w:type="dxa"/>
        <w:jc w:val="left"/>
        <w:tblInd w:w="0" w:type="dxa"/>
        <w:tblCellMar>
          <w:top w:w="0" w:type="dxa"/>
          <w:left w:w="108" w:type="dxa"/>
          <w:bottom w:w="0" w:type="dxa"/>
          <w:right w:w="108" w:type="dxa"/>
        </w:tblCellMar>
      </w:tblPr>
      <w:tblGrid>
        <w:gridCol w:w="6985"/>
        <w:gridCol w:w="1232"/>
        <w:gridCol w:w="2324"/>
      </w:tblGrid>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
                <w:b/>
              </w:rPr>
            </w:pPr>
            <w:r>
              <w:rPr>
                <w:rFonts w:cs="Calibri" w:ascii="Calibri" w:hAnsi="Calibri"/>
                <w:b/>
              </w:rPr>
              <w:t>Person Specification</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
                <w:b/>
              </w:rPr>
            </w:pPr>
            <w:r>
              <w:rPr>
                <w:rFonts w:cs="Calibri" w:ascii="Calibri" w:hAnsi="Calibri"/>
                <w:b/>
              </w:rPr>
              <w:t>Essential / Desirable</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b/>
                <w:b/>
              </w:rPr>
            </w:pPr>
            <w:r>
              <w:rPr>
                <w:rFonts w:cs="Calibri" w:ascii="Calibri" w:hAnsi="Calibri"/>
                <w:b/>
              </w:rPr>
              <w:t>Assessment stage</w:t>
            </w:r>
          </w:p>
        </w:tc>
      </w:tr>
      <w:tr>
        <w:trPr>
          <w:trHeight w:val="246" w:hRule="atLeast"/>
        </w:trPr>
        <w:tc>
          <w:tcPr>
            <w:tcW w:w="10541" w:type="dxa"/>
            <w:gridSpan w:val="3"/>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before="0" w:after="160"/>
              <w:jc w:val="both"/>
              <w:rPr>
                <w:rFonts w:ascii="Calibri" w:hAnsi="Calibri" w:cs="Calibri"/>
                <w:b/>
                <w:b/>
              </w:rPr>
            </w:pPr>
            <w:r>
              <w:rPr>
                <w:rFonts w:cs="Calibri" w:ascii="Calibri" w:hAnsi="Calibri"/>
                <w:b/>
              </w:rPr>
              <w:t>Qualifications</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 xml:space="preserve">Hold a Food Hygiene Certificate or an equivalent qualification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Desirable</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Hold a First aid qualification</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Desirable</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w:t>
            </w:r>
          </w:p>
        </w:tc>
      </w:tr>
      <w:tr>
        <w:trPr>
          <w:trHeight w:val="261" w:hRule="atLeast"/>
        </w:trPr>
        <w:tc>
          <w:tcPr>
            <w:tcW w:w="10541" w:type="dxa"/>
            <w:gridSpan w:val="3"/>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before="0" w:after="160"/>
              <w:jc w:val="both"/>
              <w:rPr>
                <w:rFonts w:ascii="Calibri" w:hAnsi="Calibri" w:cs="Calibri"/>
                <w:b/>
                <w:b/>
              </w:rPr>
            </w:pPr>
            <w:r>
              <w:rPr>
                <w:rFonts w:cs="Calibri" w:ascii="Calibri" w:hAnsi="Calibri"/>
                <w:b/>
              </w:rPr>
              <w:t>Knowledge and Experience</w:t>
            </w:r>
          </w:p>
        </w:tc>
      </w:tr>
      <w:tr>
        <w:trPr>
          <w:trHeight w:val="246"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Active listening and verbal communication skills for effective interaction with customers, other catering colleagues and Trust employees</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Knowledge of basic hygiene and health and safety</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 Interview</w:t>
            </w:r>
          </w:p>
        </w:tc>
      </w:tr>
      <w:tr>
        <w:trPr>
          <w:trHeight w:val="246"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Ability to work under supervision and as part of a team</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46"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Basic numeracy and ability to accurately complete daily returns</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 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Willing to abide by the Trust’s no smoking policy</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lang w:val="en-US"/>
              </w:rPr>
            </w:pPr>
            <w:r>
              <w:rPr>
                <w:rFonts w:cs="Calibri" w:ascii="Calibri" w:hAnsi="Calibri"/>
                <w:lang w:val="en-US"/>
              </w:rPr>
              <w:t>Experience of Food preparation</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Desirable</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lang w:val="en-US"/>
              </w:rPr>
            </w:pPr>
            <w:r>
              <w:rPr>
                <w:rFonts w:cs="Calibri" w:ascii="Calibri" w:hAnsi="Calibri"/>
                <w:lang w:val="en-US"/>
              </w:rPr>
              <w:t>Experience using tills or other payment systems</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Desirable</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w:t>
            </w:r>
          </w:p>
        </w:tc>
      </w:tr>
      <w:tr>
        <w:trPr>
          <w:trHeight w:val="246" w:hRule="atLeast"/>
        </w:trPr>
        <w:tc>
          <w:tcPr>
            <w:tcW w:w="10541" w:type="dxa"/>
            <w:gridSpan w:val="3"/>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before="0" w:after="160"/>
              <w:jc w:val="both"/>
              <w:rPr>
                <w:rFonts w:ascii="Calibri" w:hAnsi="Calibri" w:cs="Calibri"/>
                <w:b/>
                <w:b/>
              </w:rPr>
            </w:pPr>
            <w:r>
              <w:rPr>
                <w:rFonts w:cs="Calibri" w:ascii="Calibri" w:hAnsi="Calibri"/>
                <w:b/>
              </w:rPr>
              <w:t>Behaviours and Values</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Demonstrates a collaborative, team working approach focused on improvement and supporting the vision, values and objectives of the organisation</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Demonstrate a commitment to appropriate professional standards, including core policies relating to equality and diversity and child protection</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 xml:space="preserve">Demonstrate a commitment to maintaining and developing professional knowledge and skills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 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bCs/>
              </w:rPr>
            </w:pPr>
            <w:r>
              <w:rPr>
                <w:rFonts w:cs="Calibri" w:ascii="Calibri" w:hAnsi="Calibri"/>
                <w:bCs/>
              </w:rPr>
              <w:t xml:space="preserve">Tact and diplomacy in interpersonal relationships with all stakeholders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To be flexible and able to adapt and prioritise appropriately</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 xml:space="preserve">Effective staff motivation and development, including establishment of a positive performance management culture </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Application, Interview</w:t>
            </w:r>
          </w:p>
        </w:tc>
      </w:tr>
      <w:tr>
        <w:trPr>
          <w:trHeight w:val="261" w:hRule="atLeast"/>
        </w:trPr>
        <w:tc>
          <w:tcPr>
            <w:tcW w:w="6985"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Demonstrate a commitment to appropriate dress code, wearing uniform provided</w:t>
            </w:r>
          </w:p>
        </w:tc>
        <w:tc>
          <w:tcPr>
            <w:tcW w:w="1232" w:type="dxa"/>
            <w:tcBorders>
              <w:top w:val="single" w:sz="4" w:space="0" w:color="000000"/>
              <w:left w:val="single" w:sz="4" w:space="0" w:color="000000"/>
              <w:bottom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Essential</w:t>
            </w:r>
          </w:p>
        </w:tc>
        <w:tc>
          <w:tcPr>
            <w:tcW w:w="23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160"/>
              <w:jc w:val="both"/>
              <w:rPr>
                <w:rFonts w:ascii="Calibri" w:hAnsi="Calibri" w:cs="Calibri"/>
              </w:rPr>
            </w:pPr>
            <w:r>
              <w:rPr>
                <w:rFonts w:cs="Calibri" w:ascii="Calibri" w:hAnsi="Calibri"/>
              </w:rPr>
              <w:t>Interview</w:t>
            </w:r>
          </w:p>
        </w:tc>
      </w:tr>
    </w:tbl>
    <w:p>
      <w:pPr>
        <w:pStyle w:val="Normal"/>
        <w:spacing w:lineRule="auto" w:line="276"/>
        <w:jc w:val="both"/>
        <w:rPr>
          <w:rFonts w:ascii="Calibri" w:hAnsi="Calibri" w:cs="Calibri"/>
          <w:b/>
          <w:b/>
        </w:rPr>
      </w:pPr>
      <w:r>
        <w:rPr>
          <w:rFonts w:cs="Calibri" w:ascii="Calibri" w:hAnsi="Calibri"/>
          <w:b/>
        </w:rPr>
      </w:r>
    </w:p>
    <w:p>
      <w:pPr>
        <w:pStyle w:val="Normal"/>
        <w:jc w:val="both"/>
        <w:rPr>
          <w:rFonts w:ascii="Calibri" w:hAnsi="Calibri" w:cs="Calibri"/>
          <w:b/>
          <w:b/>
        </w:rPr>
      </w:pPr>
      <w:r>
        <w:rPr>
          <w:rFonts w:cs="Calibri" w:ascii="Calibri" w:hAnsi="Calibri"/>
          <w:b/>
        </w:rPr>
        <w:t>Review and Amendment:</w:t>
      </w:r>
    </w:p>
    <w:p>
      <w:pPr>
        <w:pStyle w:val="Normal"/>
        <w:jc w:val="both"/>
        <w:rPr>
          <w:rFonts w:ascii="Calibri" w:hAnsi="Calibri" w:cs="Calibri"/>
        </w:rPr>
      </w:pPr>
      <w:r>
        <w:rPr>
          <w:rFonts w:cs="Calibri" w:ascii="Calibri" w:hAnsi="Calibri"/>
        </w:rPr>
        <w:t>This job description is normally reviewed annually as part of the appraisal cycle. If significant changes are required, it may be amended following an individual consultation process.</w:t>
      </w:r>
    </w:p>
    <w:p>
      <w:pPr>
        <w:pStyle w:val="Normal"/>
        <w:jc w:val="both"/>
        <w:rPr>
          <w:rFonts w:ascii="Calibri" w:hAnsi="Calibri" w:cs="Calibri"/>
        </w:rPr>
      </w:pPr>
      <w:r>
        <w:rPr>
          <w:rFonts w:cs="Calibri" w:ascii="Calibri" w:hAnsi="Calibri"/>
        </w:rPr>
      </w:r>
    </w:p>
    <w:p>
      <w:pPr>
        <w:pStyle w:val="Normal"/>
        <w:jc w:val="both"/>
        <w:rPr>
          <w:vanish/>
        </w:rPr>
      </w:pPr>
      <w:r>
        <w:rPr>
          <w:rFonts w:cs="Calibri" w:ascii="Calibri" w:hAnsi="Calibri"/>
        </w:rPr>
        <w:t>All staff are expected to carry out their duties with due regard to current and future Trust and school policies, procedures, and relevant legislation. These will be drawn to your attention during the recruitment process, induction, staff handbook, ongoing performance development and through Trust communication.</w:t>
      </w:r>
      <w:bookmarkStart w:id="0" w:name="_PictureBullets"/>
      <w:bookmarkEnd w:id="0"/>
    </w:p>
    <w:sectPr>
      <w:headerReference w:type="default" r:id="rId2"/>
      <w:footerReference w:type="default" r:id="rId3"/>
      <w:type w:val="nextPage"/>
      <w:pgSz w:w="11906" w:h="16838"/>
      <w:pgMar w:left="851" w:right="851" w:header="0" w:top="1418" w:footer="0" w:bottom="851"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yriad Pro">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Avenir Light">
    <w:charset w:val="00"/>
    <w:family w:val="roman"/>
    <w:pitch w:val="variable"/>
  </w:font>
  <w:font w:name="Calibri">
    <w:charset w:val="00"/>
    <w:family w:val="roman"/>
    <w:pitch w:val="variable"/>
  </w:font>
  <w:font w:name="Minion Pro">
    <w:charset w:val="00"/>
    <w:family w:val="roman"/>
    <w:pitch w:val="variable"/>
  </w:font>
  <w:font w:name="Mul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
  </w:p>
  <w:p>
    <w:pPr>
      <w:pStyle w:val="Footer"/>
      <w:jc w:val="center"/>
      <w:rPr>
        <w:rFonts w:ascii="Calibri" w:hAnsi="Calibri" w:cs="Calibri"/>
        <w:b/>
        <w:b/>
        <w:i/>
        <w:i/>
        <w:iCs/>
        <w:color w:val="000000"/>
      </w:rPr>
    </w:pPr>
    <w:r>
      <w:rPr>
        <w:rFonts w:cs="Calibri" w:ascii="Calibri" w:hAnsi="Calibri"/>
        <w:b/>
        <w:i/>
        <w:iCs/>
        <w:color w:val="000000"/>
      </w:rPr>
      <w:t>Prospere Learning Trust is committed to safeguarding and promoting the welfare of children and young people and expects all staff and volunteers to share this commitment.</w:t>
    </w:r>
  </w:p>
  <w:p>
    <w:pPr>
      <w:pStyle w:val="Footer"/>
      <w:jc w:val="right"/>
      <w:rPr/>
    </w:pPr>
    <w:r>
      <w:rPr>
        <w:rFonts w:eastAsia="Calibri" w:cs="Calibri" w:ascii="Calibri" w:hAnsi="Calibri"/>
        <w:b/>
        <w:i/>
        <w:iCs/>
        <w:color w:val="262626"/>
      </w:rPr>
      <w:t xml:space="preserve"> </w:t>
    </w:r>
    <w:r>
      <w:rPr/>
      <w:t xml:space="preserve">Page </w:t>
    </w:r>
    <w:r>
      <w:rPr>
        <w:b/>
        <w:bCs/>
        <w:sz w:val="24"/>
        <w:szCs w:val="24"/>
      </w:rPr>
      <w:fldChar w:fldCharType="begin"/>
    </w:r>
    <w:r>
      <w:rPr>
        <w:sz w:val="24"/>
        <w:b/>
        <w:szCs w:val="24"/>
        <w:bCs/>
      </w:rPr>
      <w:instrText> PAGE </w:instrText>
    </w:r>
    <w:r>
      <w:rPr>
        <w:sz w:val="24"/>
        <w:b/>
        <w:szCs w:val="24"/>
        <w:bCs/>
      </w:rPr>
      <w:fldChar w:fldCharType="separate"/>
    </w:r>
    <w:r>
      <w:rPr>
        <w:sz w:val="24"/>
        <w:b/>
        <w:szCs w:val="24"/>
        <w:bCs/>
      </w:rPr>
      <w:t>3</w:t>
    </w:r>
    <w:r>
      <w:rPr>
        <w:sz w:val="24"/>
        <w:b/>
        <w:szCs w:val="24"/>
        <w:bCs/>
      </w:rPr>
      <w:fldChar w:fldCharType="end"/>
    </w:r>
    <w:r>
      <w:rPr/>
      <w:t xml:space="preserve"> of </w:t>
    </w:r>
    <w:r>
      <w:rPr>
        <w:b/>
        <w:bCs/>
        <w:sz w:val="24"/>
        <w:szCs w:val="24"/>
      </w:rPr>
      <w:fldChar w:fldCharType="begin"/>
    </w:r>
    <w:r>
      <w:rPr>
        <w:sz w:val="24"/>
        <w:b/>
        <w:szCs w:val="24"/>
        <w:bCs/>
      </w:rPr>
      <w:instrText> NUMPAGES \* ARABIC </w:instrText>
    </w:r>
    <w:r>
      <w:rPr>
        <w:sz w:val="24"/>
        <w:b/>
        <w:szCs w:val="24"/>
        <w:bCs/>
      </w:rPr>
      <w:fldChar w:fldCharType="separate"/>
    </w:r>
    <w:r>
      <w:rPr>
        <w:sz w:val="24"/>
        <w:b/>
        <w:szCs w:val="24"/>
        <w:bCs/>
      </w:rPr>
      <w:t>3</w:t>
    </w:r>
    <w:r>
      <w:rPr>
        <w:sz w:val="24"/>
        <w:b/>
        <w:szCs w:val="24"/>
        <w:bCs/>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p>
    <w:pPr>
      <w:pStyle w:val="Header"/>
      <w:rPr/>
    </w:pPr>
    <w:r>
      <w:rPr/>
      <mc:AlternateContent>
        <mc:Choice Requires="wps">
          <w:drawing>
            <wp:anchor behindDoc="1" distT="0" distB="0" distL="114935" distR="114935" simplePos="0" locked="0" layoutInCell="1" allowOverlap="1" relativeHeight="4">
              <wp:simplePos x="0" y="0"/>
              <wp:positionH relativeFrom="rightMargin">
                <wp:posOffset>0</wp:posOffset>
              </wp:positionH>
              <wp:positionV relativeFrom="paragraph">
                <wp:posOffset>5715</wp:posOffset>
              </wp:positionV>
              <wp:extent cx="4572635" cy="610235"/>
              <wp:effectExtent l="0" t="0" r="0" b="0"/>
              <wp:wrapSquare wrapText="bothSides"/>
              <wp:docPr id="1" name=""/>
              <a:graphic xmlns:a="http://schemas.openxmlformats.org/drawingml/2006/main">
                <a:graphicData uri="http://schemas.microsoft.com/office/word/2010/wordprocessingShape">
                  <wps:wsp>
                    <wps:cNvSpPr txBox="1"/>
                    <wps:spPr>
                      <a:xfrm>
                        <a:off x="0" y="0"/>
                        <a:ext cx="4572000" cy="60948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0pt;margin-top:0.45pt;width:359.95pt;height:47.95pt;mso-position-horizontal-relative:page" type="shapetype_202">
              <v:textbox>
                <w:txbxContent>
                  <w:p>
                    <w:pPr>
                      <w:overflowPunct w:val="false"/>
                      <w:rPr/>
                    </w:pPr>
                    <w:r>
                      <w:rPr>
                        <w:sz w:val="24"/>
                        <w:kern w:val="2"/>
                        <w:szCs w:val="24"/>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mc:AlternateContent>
        <mc:Choice Requires="wps">
          <w:drawing>
            <wp:anchor behindDoc="1" distT="72390" distB="72390" distL="114300" distR="114300" simplePos="0" locked="0" layoutInCell="1" allowOverlap="1" relativeHeight="13">
              <wp:simplePos x="0" y="0"/>
              <wp:positionH relativeFrom="rightMargin">
                <wp:posOffset>0</wp:posOffset>
              </wp:positionH>
              <wp:positionV relativeFrom="paragraph">
                <wp:posOffset>5715</wp:posOffset>
              </wp:positionV>
              <wp:extent cx="4572000" cy="609600"/>
              <wp:effectExtent l="0" t="0" r="0" b="0"/>
              <wp:wrapNone/>
              <wp:docPr id="2" name="Frame1"/>
              <a:graphic xmlns:a="http://schemas.openxmlformats.org/drawingml/2006/main">
                <a:graphicData uri="http://schemas.microsoft.com/office/word/2010/wordprocessingShape">
                  <wps:wsp>
                    <wps:cNvSpPr txBox="1"/>
                    <wps:spPr>
                      <a:xfrm>
                        <a:off x="0" y="0"/>
                        <a:ext cx="4572000" cy="609600"/>
                      </a:xfrm>
                      <a:prstGeom prst="rect"/>
                      <a:solidFill>
                        <a:srgbClr val="FFFFFF">
                          <a:alpha val="0"/>
                        </a:srgbClr>
                      </a:solidFill>
                    </wps:spPr>
                    <wps:txbx>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wps:txbx>
                    <wps:bodyPr anchor="t" lIns="92075" tIns="46355" rIns="92075" bIns="46355">
                      <a:noAutofit/>
                    </wps:bodyPr>
                  </wps:wsp>
                </a:graphicData>
              </a:graphic>
            </wp:anchor>
          </w:drawing>
        </mc:Choice>
        <mc:Fallback>
          <w:pict>
            <v:rect fillcolor="#FFFFFF" style="position:absolute;rotation:0;width:360pt;height:48pt;mso-wrap-distance-left:9pt;mso-wrap-distance-right:9pt;mso-wrap-distance-top:5.7pt;mso-wrap-distance-bottom:5.7pt;margin-top:0.45pt;mso-position-vertical-relative:text;margin-left:0pt;mso-position-horizontal-relative:text">
              <v:fill opacity="0f"/>
              <v:textbox inset="0.100694444444444in,0.0506944444444444in,0.100694444444444in,0.0506944444444444in">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v:textbox>
            </v:rect>
          </w:pict>
        </mc:Fallback>
      </mc:AlternateContent>
    </w:r>
  </w:p>
  <w:p>
    <w:pPr>
      <w:pStyle w:val="Header"/>
      <w:rPr/>
    </w:pPr>
    <w:r>
      <w:rPr/>
    </w:r>
  </w:p>
  <w:p>
    <w:pPr>
      <w:pStyle w:val="Header"/>
      <w:rPr/>
    </w:pPr>
    <w:r>
      <w:rPr/>
    </w:r>
  </w:p>
  <w:p>
    <w:pPr>
      <w:pStyle w:val="Header"/>
      <w:rPr/>
    </w:pPr>
    <w:r>
      <w:rPr/>
    </w:r>
  </w:p>
  <w:p>
    <w:pPr>
      <w:pStyle w:val="Header"/>
      <w:rPr/>
    </w:pPr>
    <w:r>
      <w:rPr/>
      <w:drawing>
        <wp:anchor behindDoc="1" distT="0" distB="0" distL="0" distR="0" simplePos="0" locked="0" layoutInCell="1" allowOverlap="1" relativeHeight="7">
          <wp:simplePos x="0" y="0"/>
          <wp:positionH relativeFrom="page">
            <wp:posOffset>306705</wp:posOffset>
          </wp:positionH>
          <wp:positionV relativeFrom="page">
            <wp:posOffset>159385</wp:posOffset>
          </wp:positionV>
          <wp:extent cx="1323340" cy="748665"/>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27" t="-48" r="-27" b="-48"/>
                  <a:stretch>
                    <a:fillRect/>
                  </a:stretch>
                </pic:blipFill>
                <pic:spPr bwMode="auto">
                  <a:xfrm>
                    <a:off x="0" y="0"/>
                    <a:ext cx="1323340" cy="748665"/>
                  </a:xfrm>
                  <a:prstGeom prst="rect">
                    <a:avLst/>
                  </a:prstGeom>
                </pic:spPr>
              </pic:pic>
            </a:graphicData>
          </a:graphic>
        </wp:anchor>
      </w:drawing>
      <w:drawing>
        <wp:anchor behindDoc="1" distT="0" distB="0" distL="0" distR="0" simplePos="0" locked="0" layoutInCell="1" allowOverlap="1" relativeHeight="10">
          <wp:simplePos x="0" y="0"/>
          <wp:positionH relativeFrom="page">
            <wp:posOffset>1724660</wp:posOffset>
          </wp:positionH>
          <wp:positionV relativeFrom="page">
            <wp:posOffset>866775</wp:posOffset>
          </wp:positionV>
          <wp:extent cx="5274945" cy="4191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2"/>
                  <a:srcRect l="-4" t="-633" r="-4" b="-633"/>
                  <a:stretch>
                    <a:fillRect/>
                  </a:stretch>
                </pic:blipFill>
                <pic:spPr bwMode="auto">
                  <a:xfrm>
                    <a:off x="0" y="0"/>
                    <a:ext cx="5274945" cy="4191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Heading1">
    <w:name w:val="Heading 1"/>
    <w:basedOn w:val="Normal"/>
    <w:next w:val="TextBody"/>
    <w:qFormat/>
    <w:pPr>
      <w:numPr>
        <w:ilvl w:val="0"/>
        <w:numId w:val="1"/>
      </w:numPr>
      <w:ind w:left="1149" w:right="1820" w:hanging="0"/>
      <w:outlineLvl w:val="0"/>
    </w:pPr>
    <w:rPr>
      <w:sz w:val="68"/>
      <w:szCs w:val="68"/>
    </w:rPr>
  </w:style>
  <w:style w:type="paragraph" w:styleId="Heading2">
    <w:name w:val="Heading 2"/>
    <w:basedOn w:val="Normal"/>
    <w:next w:val="TextBody"/>
    <w:qFormat/>
    <w:pPr>
      <w:numPr>
        <w:ilvl w:val="1"/>
        <w:numId w:val="1"/>
      </w:numPr>
      <w:spacing w:before="100" w:after="0"/>
      <w:ind w:left="714" w:right="0" w:hanging="0"/>
      <w:outlineLvl w:val="1"/>
    </w:pPr>
    <w:rPr>
      <w:sz w:val="40"/>
      <w:szCs w:val="40"/>
    </w:rPr>
  </w:style>
  <w:style w:type="paragraph" w:styleId="Heading3">
    <w:name w:val="Heading 3"/>
    <w:basedOn w:val="Normal"/>
    <w:next w:val="TextBody"/>
    <w:qFormat/>
    <w:pPr>
      <w:numPr>
        <w:ilvl w:val="2"/>
        <w:numId w:val="1"/>
      </w:numPr>
      <w:spacing w:before="100" w:after="0"/>
      <w:ind w:left="433" w:right="0" w:hanging="0"/>
      <w:outlineLvl w:val="2"/>
    </w:pPr>
    <w:rPr>
      <w:sz w:val="32"/>
      <w:szCs w:val="32"/>
    </w:rPr>
  </w:style>
  <w:style w:type="paragraph" w:styleId="Heading4">
    <w:name w:val="Heading 4"/>
    <w:basedOn w:val="Normal"/>
    <w:next w:val="TextBody"/>
    <w:qFormat/>
    <w:pPr>
      <w:numPr>
        <w:ilvl w:val="3"/>
        <w:numId w:val="1"/>
      </w:numPr>
      <w:spacing w:before="100" w:after="0"/>
      <w:ind w:left="112" w:right="0" w:hanging="0"/>
      <w:outlineLvl w:val="3"/>
    </w:pPr>
    <w:rPr>
      <w:sz w:val="26"/>
      <w:szCs w:val="26"/>
    </w:rPr>
  </w:style>
  <w:style w:type="paragraph" w:styleId="Heading5">
    <w:name w:val="Heading 5"/>
    <w:basedOn w:val="Normal"/>
    <w:next w:val="TextBody"/>
    <w:qFormat/>
    <w:pPr>
      <w:numPr>
        <w:ilvl w:val="4"/>
        <w:numId w:val="1"/>
      </w:numPr>
      <w:spacing w:before="20" w:after="0"/>
      <w:ind w:left="20" w:right="0" w:hanging="0"/>
      <w:outlineLvl w:val="4"/>
    </w:pPr>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BodyTextChar">
    <w:name w:val="Body Text Char"/>
    <w:basedOn w:val="DefaultParagraphFont"/>
    <w:qFormat/>
    <w:rPr>
      <w:rFonts w:ascii="Myriad Pro" w:hAnsi="Myriad Pro" w:eastAsia="Myriad Pro" w:cs="Myriad Pro"/>
      <w:sz w:val="20"/>
      <w:szCs w:val="20"/>
      <w:lang w:val="en-GB" w:bidi="en-US"/>
    </w:rPr>
  </w:style>
  <w:style w:type="character" w:styleId="ListParagraphChar">
    <w:name w:val="List Paragraph Char"/>
    <w:qFormat/>
    <w:rPr>
      <w:rFonts w:ascii="Myriad Pro" w:hAnsi="Myriad Pro" w:eastAsia="Myriad Pro" w:cs="Myriad Pro"/>
      <w:lang w:val="en-GB" w:bidi="en-US"/>
    </w:rPr>
  </w:style>
  <w:style w:type="character" w:styleId="HeaderChar">
    <w:name w:val="Header Char"/>
    <w:basedOn w:val="DefaultParagraphFont"/>
    <w:qFormat/>
    <w:rPr>
      <w:rFonts w:ascii="Myriad Pro" w:hAnsi="Myriad Pro" w:eastAsia="Myriad Pro" w:cs="Myriad Pro"/>
      <w:lang w:bidi="en-US"/>
    </w:rPr>
  </w:style>
  <w:style w:type="character" w:styleId="FooterChar">
    <w:name w:val="Footer Char"/>
    <w:basedOn w:val="DefaultParagraphFont"/>
    <w:qFormat/>
    <w:rPr>
      <w:rFonts w:ascii="Myriad Pro" w:hAnsi="Myriad Pro" w:eastAsia="Myriad Pro" w:cs="Myriad Pro"/>
      <w:lang w:bidi="en-US"/>
    </w:rPr>
  </w:style>
  <w:style w:type="character" w:styleId="BalloonTextChar">
    <w:name w:val="Balloon Text Char"/>
    <w:basedOn w:val="DefaultParagraphFont"/>
    <w:qFormat/>
    <w:rPr>
      <w:rFonts w:ascii="Segoe UI" w:hAnsi="Segoe UI" w:eastAsia="Myriad Pro" w:cs="Segoe UI"/>
      <w:sz w:val="18"/>
      <w:szCs w:val="18"/>
      <w:lang w:bidi="en-US"/>
    </w:rPr>
  </w:style>
  <w:style w:type="character" w:styleId="Normaltextrun">
    <w:name w:val="normaltextrun"/>
    <w:basedOn w:val="DefaultParagraphFont"/>
    <w:qFormat/>
    <w:rPr/>
  </w:style>
  <w:style w:type="character" w:styleId="Eop">
    <w:name w:val="eop"/>
    <w:basedOn w:val="DefaultParagraphFont"/>
    <w:qFormat/>
    <w:rPr/>
  </w:style>
  <w:style w:type="character" w:styleId="1bodycopyChar">
    <w:name w:val="1 body copy Char"/>
    <w:qFormat/>
    <w:rPr>
      <w:rFonts w:ascii="Arial" w:hAnsi="Arial" w:eastAsia="MS Mincho" w:cs="Times New Roman"/>
      <w:sz w:val="20"/>
      <w:szCs w:val="24"/>
    </w:rPr>
  </w:style>
  <w:style w:type="character" w:styleId="Emphasis">
    <w:name w:val="Emphasis"/>
    <w:basedOn w:val="DefaultParagraphFont"/>
    <w:qFormat/>
    <w:rPr>
      <w:i/>
      <w:iCs/>
    </w:rPr>
  </w:style>
  <w:style w:type="character" w:styleId="Strong">
    <w:name w:val="Strong"/>
    <w:basedOn w:val="DefaultParagraphFont"/>
    <w:qFormat/>
    <w:rPr>
      <w:b/>
      <w:bCs/>
    </w:rPr>
  </w:style>
  <w:style w:type="character" w:styleId="A9">
    <w:name w:val="A9"/>
    <w:qFormat/>
    <w:rPr>
      <w:rFonts w:cs="Rockwell"/>
      <w:color w:val="000000"/>
      <w:sz w:val="26"/>
      <w:szCs w:val="26"/>
    </w:rPr>
  </w:style>
  <w:style w:type="character" w:styleId="InternetLink">
    <w:name w:val="Internet Link"/>
    <w:basedOn w:val="DefaultParagraphFont"/>
    <w:rPr>
      <w:color w:val="0000FF"/>
      <w:u w:val="single"/>
    </w:rPr>
  </w:style>
  <w:style w:type="character" w:styleId="FollowedHyperlink">
    <w:name w:val="FollowedHyperlink"/>
    <w:basedOn w:val="DefaultParagraphFont"/>
    <w:qFormat/>
    <w:rPr>
      <w:color w:val="800080"/>
      <w:u w:val="single"/>
    </w:rPr>
  </w:style>
  <w:style w:type="character" w:styleId="TitleChar">
    <w:name w:val="Title Char"/>
    <w:basedOn w:val="DefaultParagraphFont"/>
    <w:qFormat/>
    <w:rPr>
      <w:rFonts w:ascii="Arial" w:hAnsi="Arial" w:eastAsia="Times New Roman" w:cs="Times New Roman"/>
      <w:b/>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Myriad Pro" w:hAnsi="Myriad Pro" w:eastAsia="Myriad Pro" w:cs="Myriad Pro"/>
      <w:sz w:val="20"/>
      <w:szCs w:val="20"/>
      <w:lang w:val="en-GB" w:bidi="en-US"/>
    </w:rPr>
  </w:style>
  <w:style w:type="character" w:styleId="CommentSubjectChar">
    <w:name w:val="Comment Subject Char"/>
    <w:basedOn w:val="CommentTextChar"/>
    <w:qFormat/>
    <w:rPr>
      <w:rFonts w:ascii="Myriad Pro" w:hAnsi="Myriad Pro" w:eastAsia="Myriad Pro" w:cs="Myriad Pro"/>
      <w:b/>
      <w:bCs/>
      <w:sz w:val="20"/>
      <w:szCs w:val="20"/>
      <w:lang w:val="en-GB" w:bidi="en-U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z w:val="20"/>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left="1057" w:right="320" w:hanging="226"/>
      <w:jc w:val="both"/>
    </w:pPr>
    <w:rPr/>
  </w:style>
  <w:style w:type="paragraph" w:styleId="TableParagraph">
    <w:name w:val="Table Paragraph"/>
    <w:basedOn w:val="Normal"/>
    <w:qFormat/>
    <w:pPr/>
    <w:rPr>
      <w:rFonts w:ascii="Avenir Light" w:hAnsi="Avenir Light" w:eastAsia="Avenir Light" w:cs="Avenir Light"/>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suppressAutoHyphens w:val="true"/>
      <w:bidi w:val="0"/>
      <w:spacing w:before="0" w:after="0"/>
      <w:jc w:val="left"/>
    </w:pPr>
    <w:rPr>
      <w:rFonts w:ascii="Calibri" w:hAnsi="Calibri" w:eastAsia="Calibri" w:cs="Calibri"/>
      <w:color w:val="000000"/>
      <w:kern w:val="0"/>
      <w:sz w:val="24"/>
      <w:szCs w:val="24"/>
      <w:lang w:val="en-GB" w:eastAsia="en-US" w:bidi="ar-SA"/>
    </w:rPr>
  </w:style>
  <w:style w:type="paragraph" w:styleId="BalloonText">
    <w:name w:val="Balloon Text"/>
    <w:basedOn w:val="Normal"/>
    <w:qFormat/>
    <w:pPr/>
    <w:rPr>
      <w:rFonts w:ascii="Segoe UI" w:hAnsi="Segoe UI" w:cs="Segoe UI"/>
      <w:sz w:val="18"/>
      <w:szCs w:val="18"/>
    </w:rPr>
  </w:style>
  <w:style w:type="paragraph" w:styleId="BasicParagraph">
    <w:name w:val="[Basic Paragraph]"/>
    <w:basedOn w:val="Normal"/>
    <w:qFormat/>
    <w:pPr>
      <w:widowControl/>
      <w:spacing w:lineRule="auto" w:line="288"/>
      <w:textAlignment w:val="center"/>
    </w:pPr>
    <w:rPr>
      <w:rFonts w:ascii="Minion Pro" w:hAnsi="Minion Pro" w:eastAsia="Calibri" w:cs="Minion Pro"/>
      <w:color w:val="000000"/>
      <w:sz w:val="24"/>
      <w:szCs w:val="24"/>
      <w:lang w:bidi="ar-SA"/>
    </w:rPr>
  </w:style>
  <w:style w:type="paragraph" w:styleId="Revision">
    <w:name w:val="Revision"/>
    <w:qFormat/>
    <w:pPr>
      <w:widowControl/>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NormalWeb">
    <w:name w:val="Normal (Web)"/>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Paragraph">
    <w:name w:val="paragraph"/>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DefaultText1">
    <w:name w:val="Default Text:1"/>
    <w:basedOn w:val="Normal"/>
    <w:qFormat/>
    <w:pPr>
      <w:widowControl/>
      <w:overflowPunct w:val="true"/>
      <w:textAlignment w:val="baseline"/>
    </w:pPr>
    <w:rPr>
      <w:rFonts w:ascii="Times New Roman" w:hAnsi="Times New Roman" w:eastAsia="Times New Roman" w:cs="Times New Roman"/>
      <w:color w:val="000000"/>
      <w:sz w:val="24"/>
      <w:szCs w:val="20"/>
      <w:lang w:val="en-US" w:bidi="ar-SA"/>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Large">
    <w:name w:val="large"/>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1bodycopy">
    <w:name w:val="1 body copy"/>
    <w:basedOn w:val="Normal"/>
    <w:qFormat/>
    <w:pPr>
      <w:widowControl/>
      <w:spacing w:before="0" w:after="120"/>
      <w:ind w:left="0" w:right="284" w:hanging="0"/>
    </w:pPr>
    <w:rPr>
      <w:rFonts w:ascii="Arial" w:hAnsi="Arial" w:eastAsia="MS Mincho" w:cs="Times New Roman"/>
      <w:sz w:val="20"/>
      <w:szCs w:val="24"/>
      <w:lang w:val="en-US" w:bidi="ar-SA"/>
    </w:rPr>
  </w:style>
  <w:style w:type="paragraph" w:styleId="3Bulletedcopyblue">
    <w:name w:val="3 Bulleted copy blue"/>
    <w:basedOn w:val="Normal"/>
    <w:qFormat/>
    <w:pPr>
      <w:widowControl/>
      <w:spacing w:before="0" w:after="120"/>
    </w:pPr>
    <w:rPr>
      <w:rFonts w:ascii="Arial" w:hAnsi="Arial" w:eastAsia="MS Mincho" w:cs="Arial"/>
      <w:sz w:val="20"/>
      <w:szCs w:val="20"/>
      <w:lang w:val="en-US" w:bidi="ar-SA"/>
    </w:rPr>
  </w:style>
  <w:style w:type="paragraph" w:styleId="6Boxheading">
    <w:name w:val="6 Box heading"/>
    <w:basedOn w:val="Normal"/>
    <w:qFormat/>
    <w:pPr>
      <w:widowControl/>
      <w:spacing w:before="0" w:after="120"/>
    </w:pPr>
    <w:rPr>
      <w:rFonts w:ascii="Arial" w:hAnsi="Arial" w:eastAsia="MS Mincho" w:cs="Times New Roman"/>
      <w:b/>
      <w:color w:val="12263F"/>
      <w:sz w:val="24"/>
      <w:szCs w:val="24"/>
      <w:lang w:val="en-US" w:bidi="ar-SA"/>
    </w:rPr>
  </w:style>
  <w:style w:type="paragraph" w:styleId="7Tablebodycopy">
    <w:name w:val="7 Table body copy"/>
    <w:basedOn w:val="Normal"/>
    <w:qFormat/>
    <w:pPr>
      <w:widowControl/>
      <w:spacing w:before="0" w:after="60"/>
    </w:pPr>
    <w:rPr>
      <w:rFonts w:ascii="Arial" w:hAnsi="Arial" w:eastAsia="MS Mincho" w:cs="Times New Roman"/>
      <w:sz w:val="20"/>
      <w:szCs w:val="24"/>
      <w:lang w:val="en-US" w:bidi="ar-SA"/>
    </w:rPr>
  </w:style>
  <w:style w:type="paragraph" w:styleId="Title">
    <w:name w:val="Title"/>
    <w:basedOn w:val="Normal"/>
    <w:next w:val="TextBody"/>
    <w:qFormat/>
    <w:pPr>
      <w:widowControl/>
      <w:jc w:val="center"/>
    </w:pPr>
    <w:rPr>
      <w:rFonts w:ascii="Arial" w:hAnsi="Arial" w:eastAsia="Times New Roman" w:cs="Times New Roman"/>
      <w:b/>
      <w:sz w:val="24"/>
      <w:szCs w:val="20"/>
      <w:lang w:val="en-US"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DefaultText">
    <w:name w:val="Default Text"/>
    <w:basedOn w:val="Normal"/>
    <w:qFormat/>
    <w:pPr>
      <w:widowControl/>
    </w:pPr>
    <w:rPr>
      <w:rFonts w:ascii="Times New Roman" w:hAnsi="Times New Roman" w:eastAsia="Times New Roman" w:cs="Times New Roman"/>
      <w:sz w:val="24"/>
      <w:szCs w:val="24"/>
      <w:lang w:bidi="ar-SA"/>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Company>The Prospere Trust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2021-06-24T08:56:00Z</dcterms:created>
  <dc:creator>Andi Bryan</dc:creator>
  <dc:description/>
  <dc:language>en-US</dc:language>
  <cp:lastModifiedBy>Megan Cere</cp:lastModifiedBy>
  <cp:lastPrinted>1995-11-21T17:41:00Z</cp:lastPrinted>
  <dcterms:modified xsi:type="dcterms:W3CDTF">2024-11-17T16:20:00Z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The Prospere Trust</vt:lpwstr>
  </property>
  <property fmtid="{D5CDD505-2E9C-101B-9397-08002B2CF9AE}" pid="4" name="ContentTypeId">
    <vt:lpwstr>0x010100D3903CE44D39774B9826CFB3090CDA98</vt:lpwstr>
  </property>
  <property fmtid="{D5CDD505-2E9C-101B-9397-08002B2CF9AE}" pid="5" name="Created">
    <vt:filetime>2019-12-06T00:00:00Z</vt:filetime>
  </property>
  <property fmtid="{D5CDD505-2E9C-101B-9397-08002B2CF9AE}" pid="6" name="Creator">
    <vt:lpwstr>Adobe InDesign CC 13.1 (Windows)</vt:lpwstr>
  </property>
  <property fmtid="{D5CDD505-2E9C-101B-9397-08002B2CF9AE}" pid="7" name="DocSecurity">
    <vt:i4>0</vt:i4>
  </property>
  <property fmtid="{D5CDD505-2E9C-101B-9397-08002B2CF9AE}" pid="8" name="HyperlinksChanged">
    <vt:bool>0</vt:bool>
  </property>
  <property fmtid="{D5CDD505-2E9C-101B-9397-08002B2CF9AE}" pid="9" name="LastSaved">
    <vt:filetime>2019-12-06T00:00:00Z</vt:filetime>
  </property>
  <property fmtid="{D5CDD505-2E9C-101B-9397-08002B2CF9AE}" pid="10" name="LinksUpToDate">
    <vt:bool>0</vt:bool>
  </property>
  <property fmtid="{D5CDD505-2E9C-101B-9397-08002B2CF9AE}" pid="11" name="ScaleCrop">
    <vt:bool>0</vt:bool>
  </property>
  <property fmtid="{D5CDD505-2E9C-101B-9397-08002B2CF9AE}" pid="12" name="ShareDoc">
    <vt:bool>0</vt:bool>
  </property>
  <property fmtid="{D5CDD505-2E9C-101B-9397-08002B2CF9AE}" pid="13" name="_AdHocReviewCycleID">
    <vt:i4>1673628173</vt:i4>
  </property>
  <property fmtid="{D5CDD505-2E9C-101B-9397-08002B2CF9AE}" pid="14" name="_AuthorEmail">
    <vt:lpwstr>A.Park@chorltonhigh.manchester.sch.uk</vt:lpwstr>
  </property>
  <property fmtid="{D5CDD505-2E9C-101B-9397-08002B2CF9AE}" pid="15" name="_AuthorEmailDisplayName">
    <vt:lpwstr>Andy Park</vt:lpwstr>
  </property>
  <property fmtid="{D5CDD505-2E9C-101B-9397-08002B2CF9AE}" pid="16" name="_EmailSubject">
    <vt:lpwstr>VP JD</vt:lpwstr>
  </property>
  <property fmtid="{D5CDD505-2E9C-101B-9397-08002B2CF9AE}" pid="17" name="_PreviousAdHocReviewCycleID">
    <vt:i4>-306987722</vt:i4>
  </property>
</Properties>
</file>