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91C6" w14:textId="77777777" w:rsidR="00A318EE" w:rsidRPr="00FA3A17" w:rsidRDefault="00A318EE" w:rsidP="00A318EE">
      <w:pPr>
        <w:rPr>
          <w:rFonts w:ascii="Century Gothic" w:hAnsi="Century Gothic"/>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0" w:name="_Hlk50029632"/>
      <w:r w:rsidRPr="007C3263">
        <w:rPr>
          <w:rFonts w:ascii="Century Gothic" w:eastAsia="Times New Roman" w:hAnsi="Century Gothic" w:cs="Arial"/>
          <w:b/>
          <w:sz w:val="28"/>
          <w:szCs w:val="28"/>
          <w:u w:val="single"/>
          <w:lang w:val="en-US"/>
        </w:rPr>
        <w:t>Employment details</w:t>
      </w:r>
      <w:bookmarkEnd w:id="0"/>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237EEB" w:rsidRDefault="003908D0" w:rsidP="00CB1134">
            <w:pPr>
              <w:spacing w:line="276" w:lineRule="auto"/>
              <w:jc w:val="both"/>
              <w:rPr>
                <w:rFonts w:ascii="Century Gothic" w:hAnsi="Century Gothic" w:cs="Arial"/>
                <w:b/>
                <w:sz w:val="24"/>
                <w:szCs w:val="24"/>
              </w:rPr>
            </w:pPr>
            <w:r>
              <w:rPr>
                <w:rFonts w:ascii="Century Gothic" w:hAnsi="Century Gothic" w:cs="Arial"/>
                <w:b/>
                <w:sz w:val="24"/>
                <w:szCs w:val="24"/>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237EEB" w:rsidRDefault="000F1EFC" w:rsidP="00CB1134">
            <w:pPr>
              <w:spacing w:line="276" w:lineRule="auto"/>
              <w:jc w:val="both"/>
              <w:rPr>
                <w:rFonts w:ascii="Century Gothic" w:hAnsi="Century Gothic" w:cs="Arial"/>
                <w:b/>
                <w:sz w:val="24"/>
                <w:szCs w:val="24"/>
              </w:rPr>
            </w:pPr>
            <w:r w:rsidRPr="00237EEB">
              <w:rPr>
                <w:rFonts w:ascii="Century Gothic" w:hAnsi="Century Gothic" w:cs="Arial"/>
                <w:b/>
                <w:sz w:val="24"/>
                <w:szCs w:val="24"/>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426C72F3" w:rsidR="00237EEB" w:rsidRPr="00237EEB" w:rsidRDefault="007F4C42" w:rsidP="00237EEB">
            <w:pPr>
              <w:jc w:val="both"/>
              <w:rPr>
                <w:rFonts w:ascii="Century Gothic" w:hAnsi="Century Gothic" w:cs="Arial"/>
                <w:b/>
                <w:color w:val="FFCC00"/>
                <w:sz w:val="24"/>
                <w:szCs w:val="24"/>
              </w:rPr>
            </w:pPr>
            <w:r w:rsidRPr="002041D4">
              <w:rPr>
                <w:rFonts w:ascii="Century Gothic" w:hAnsi="Century Gothic" w:cs="Arial"/>
                <w:b/>
                <w:sz w:val="24"/>
                <w:szCs w:val="24"/>
              </w:rPr>
              <w:t>Classroom teacher</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72F2256D" w:rsidR="00237EEB" w:rsidRPr="00F34DD3" w:rsidRDefault="00EE02B8" w:rsidP="00237EEB">
            <w:pPr>
              <w:jc w:val="both"/>
              <w:rPr>
                <w:rFonts w:ascii="Century Gothic" w:hAnsi="Century Gothic" w:cs="Arial"/>
                <w:b/>
                <w:sz w:val="24"/>
                <w:szCs w:val="24"/>
              </w:rPr>
            </w:pPr>
            <w:r w:rsidRPr="00F34DD3">
              <w:rPr>
                <w:rFonts w:ascii="Century Gothic" w:hAnsi="Century Gothic" w:cs="Arial"/>
                <w:b/>
                <w:sz w:val="24"/>
                <w:szCs w:val="24"/>
              </w:rPr>
              <w:t>P</w:t>
            </w:r>
            <w:r w:rsidRPr="00F34DD3">
              <w:rPr>
                <w:rFonts w:ascii="Century Gothic" w:hAnsi="Century Gothic"/>
                <w:b/>
                <w:sz w:val="24"/>
                <w:szCs w:val="24"/>
              </w:rPr>
              <w:t>art</w:t>
            </w:r>
            <w:r w:rsidR="00F34DD3" w:rsidRPr="00F34DD3">
              <w:rPr>
                <w:rFonts w:ascii="Century Gothic" w:hAnsi="Century Gothic"/>
                <w:b/>
                <w:sz w:val="24"/>
                <w:szCs w:val="24"/>
              </w:rPr>
              <w:t>-</w:t>
            </w:r>
            <w:proofErr w:type="gramStart"/>
            <w:r w:rsidRPr="00F34DD3">
              <w:rPr>
                <w:rFonts w:ascii="Century Gothic" w:hAnsi="Century Gothic"/>
                <w:b/>
                <w:sz w:val="24"/>
                <w:szCs w:val="24"/>
              </w:rPr>
              <w:t>Time  -</w:t>
            </w:r>
            <w:proofErr w:type="gramEnd"/>
            <w:r w:rsidRPr="00F34DD3">
              <w:rPr>
                <w:rFonts w:ascii="Century Gothic" w:hAnsi="Century Gothic"/>
                <w:b/>
                <w:sz w:val="24"/>
                <w:szCs w:val="24"/>
              </w:rPr>
              <w:t xml:space="preserve"> </w:t>
            </w:r>
            <w:r w:rsidR="00874BD1" w:rsidRPr="00F34DD3">
              <w:rPr>
                <w:rFonts w:ascii="Century Gothic" w:hAnsi="Century Gothic"/>
                <w:b/>
                <w:sz w:val="24"/>
                <w:szCs w:val="24"/>
              </w:rPr>
              <w:t xml:space="preserve">2 </w:t>
            </w:r>
            <w:r w:rsidRPr="00F34DD3">
              <w:rPr>
                <w:rFonts w:ascii="Century Gothic" w:hAnsi="Century Gothic"/>
                <w:b/>
                <w:sz w:val="24"/>
                <w:szCs w:val="24"/>
              </w:rPr>
              <w:t>days per we</w:t>
            </w:r>
            <w:r w:rsidR="00874BD1" w:rsidRPr="00F34DD3">
              <w:rPr>
                <w:rFonts w:ascii="Century Gothic" w:hAnsi="Century Gothic"/>
                <w:b/>
                <w:sz w:val="24"/>
                <w:szCs w:val="24"/>
              </w:rPr>
              <w:t>ek – Monday and Tuesday</w:t>
            </w:r>
          </w:p>
        </w:tc>
      </w:tr>
      <w:tr w:rsidR="00237EEB" w:rsidRPr="00FA3A17" w14:paraId="41E34714" w14:textId="77777777" w:rsidTr="00CB1134">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vAlign w:val="center"/>
          </w:tcPr>
          <w:p w14:paraId="4EAF9B3D" w14:textId="6FA66C19" w:rsidR="00237EEB" w:rsidRPr="00237EEB" w:rsidRDefault="007F4C42" w:rsidP="00237EEB">
            <w:pPr>
              <w:jc w:val="both"/>
              <w:rPr>
                <w:rFonts w:ascii="Century Gothic" w:hAnsi="Century Gothic" w:cs="Arial"/>
                <w:b/>
                <w:sz w:val="24"/>
                <w:szCs w:val="24"/>
              </w:rPr>
            </w:pPr>
            <w:r>
              <w:rPr>
                <w:rFonts w:ascii="Century Gothic" w:hAnsi="Century Gothic" w:cs="Arial"/>
                <w:b/>
                <w:sz w:val="24"/>
                <w:szCs w:val="24"/>
              </w:rPr>
              <w:t>ECT</w:t>
            </w:r>
            <w:r w:rsidR="00D65C21">
              <w:rPr>
                <w:rFonts w:ascii="Century Gothic" w:hAnsi="Century Gothic" w:cs="Arial"/>
                <w:b/>
                <w:sz w:val="24"/>
                <w:szCs w:val="24"/>
              </w:rPr>
              <w:t>/Main Scale</w:t>
            </w:r>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1" w:name="_Hlk50029643"/>
      <w:r w:rsidRPr="007C3263">
        <w:rPr>
          <w:rFonts w:ascii="Century Gothic" w:hAnsi="Century Gothic" w:cs="Arial"/>
          <w:b/>
          <w:sz w:val="28"/>
          <w:szCs w:val="28"/>
          <w:u w:val="single"/>
        </w:rPr>
        <w:t>Job Purpose</w:t>
      </w:r>
    </w:p>
    <w:bookmarkEnd w:id="1"/>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2" w:name="_Hlk50029676"/>
      <w:r w:rsidRPr="007C3263">
        <w:rPr>
          <w:rFonts w:ascii="Century Gothic" w:hAnsi="Century Gothic" w:cstheme="minorHAnsi"/>
          <w:b/>
          <w:bCs/>
          <w:color w:val="auto"/>
          <w:sz w:val="28"/>
          <w:szCs w:val="28"/>
          <w:u w:val="single"/>
        </w:rPr>
        <w:t>Areas of responsibility:</w:t>
      </w:r>
      <w:bookmarkEnd w:id="2"/>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2EE0" w14:textId="77777777" w:rsidR="00872015" w:rsidRDefault="00872015" w:rsidP="000C488F">
      <w:pPr>
        <w:spacing w:after="0" w:line="240" w:lineRule="auto"/>
      </w:pPr>
      <w:r>
        <w:separator/>
      </w:r>
    </w:p>
  </w:endnote>
  <w:endnote w:type="continuationSeparator" w:id="0">
    <w:p w14:paraId="0F3088FA" w14:textId="77777777" w:rsidR="00872015" w:rsidRDefault="00872015"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0B5A" w14:textId="77777777" w:rsidR="00872015" w:rsidRDefault="00872015" w:rsidP="000C488F">
      <w:pPr>
        <w:spacing w:after="0" w:line="240" w:lineRule="auto"/>
      </w:pPr>
      <w:r>
        <w:separator/>
      </w:r>
    </w:p>
  </w:footnote>
  <w:footnote w:type="continuationSeparator" w:id="0">
    <w:p w14:paraId="3C4C3471" w14:textId="77777777" w:rsidR="00872015" w:rsidRDefault="00872015"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8930991">
    <w:abstractNumId w:val="38"/>
  </w:num>
  <w:num w:numId="2" w16cid:durableId="1634746673">
    <w:abstractNumId w:val="10"/>
  </w:num>
  <w:num w:numId="3" w16cid:durableId="1374191451">
    <w:abstractNumId w:val="35"/>
  </w:num>
  <w:num w:numId="4" w16cid:durableId="881744651">
    <w:abstractNumId w:val="36"/>
  </w:num>
  <w:num w:numId="5" w16cid:durableId="269238609">
    <w:abstractNumId w:val="8"/>
  </w:num>
  <w:num w:numId="6" w16cid:durableId="1953437843">
    <w:abstractNumId w:val="19"/>
  </w:num>
  <w:num w:numId="7" w16cid:durableId="1046762354">
    <w:abstractNumId w:val="14"/>
  </w:num>
  <w:num w:numId="8" w16cid:durableId="1773235211">
    <w:abstractNumId w:val="6"/>
  </w:num>
  <w:num w:numId="9" w16cid:durableId="354966704">
    <w:abstractNumId w:val="17"/>
  </w:num>
  <w:num w:numId="10" w16cid:durableId="405228865">
    <w:abstractNumId w:val="28"/>
  </w:num>
  <w:num w:numId="11" w16cid:durableId="2056611311">
    <w:abstractNumId w:val="29"/>
  </w:num>
  <w:num w:numId="12" w16cid:durableId="848719460">
    <w:abstractNumId w:val="1"/>
  </w:num>
  <w:num w:numId="13" w16cid:durableId="1018773972">
    <w:abstractNumId w:val="7"/>
  </w:num>
  <w:num w:numId="14" w16cid:durableId="1141919035">
    <w:abstractNumId w:val="23"/>
  </w:num>
  <w:num w:numId="15" w16cid:durableId="379980618">
    <w:abstractNumId w:val="21"/>
  </w:num>
  <w:num w:numId="16" w16cid:durableId="1405949512">
    <w:abstractNumId w:val="16"/>
  </w:num>
  <w:num w:numId="17" w16cid:durableId="557324010">
    <w:abstractNumId w:val="22"/>
  </w:num>
  <w:num w:numId="18" w16cid:durableId="1022777291">
    <w:abstractNumId w:val="37"/>
  </w:num>
  <w:num w:numId="19" w16cid:durableId="101997785">
    <w:abstractNumId w:val="30"/>
  </w:num>
  <w:num w:numId="20" w16cid:durableId="2122843943">
    <w:abstractNumId w:val="3"/>
  </w:num>
  <w:num w:numId="21" w16cid:durableId="587467274">
    <w:abstractNumId w:val="39"/>
  </w:num>
  <w:num w:numId="22" w16cid:durableId="1952853128">
    <w:abstractNumId w:val="34"/>
  </w:num>
  <w:num w:numId="23" w16cid:durableId="1666586283">
    <w:abstractNumId w:val="32"/>
  </w:num>
  <w:num w:numId="24" w16cid:durableId="397753391">
    <w:abstractNumId w:val="0"/>
  </w:num>
  <w:num w:numId="25" w16cid:durableId="214588951">
    <w:abstractNumId w:val="33"/>
  </w:num>
  <w:num w:numId="26" w16cid:durableId="2047563338">
    <w:abstractNumId w:val="4"/>
  </w:num>
  <w:num w:numId="27" w16cid:durableId="1268658491">
    <w:abstractNumId w:val="2"/>
  </w:num>
  <w:num w:numId="28" w16cid:durableId="1443767277">
    <w:abstractNumId w:val="26"/>
  </w:num>
  <w:num w:numId="29" w16cid:durableId="1970281627">
    <w:abstractNumId w:val="25"/>
  </w:num>
  <w:num w:numId="30" w16cid:durableId="767426678">
    <w:abstractNumId w:val="18"/>
  </w:num>
  <w:num w:numId="31" w16cid:durableId="267156943">
    <w:abstractNumId w:val="27"/>
  </w:num>
  <w:num w:numId="32" w16cid:durableId="571038450">
    <w:abstractNumId w:val="9"/>
  </w:num>
  <w:num w:numId="33" w16cid:durableId="1381635917">
    <w:abstractNumId w:val="24"/>
  </w:num>
  <w:num w:numId="34" w16cid:durableId="1739981181">
    <w:abstractNumId w:val="13"/>
  </w:num>
  <w:num w:numId="35" w16cid:durableId="871263317">
    <w:abstractNumId w:val="20"/>
  </w:num>
  <w:num w:numId="36" w16cid:durableId="1144545749">
    <w:abstractNumId w:val="5"/>
  </w:num>
  <w:num w:numId="37" w16cid:durableId="1665862917">
    <w:abstractNumId w:val="11"/>
  </w:num>
  <w:num w:numId="38" w16cid:durableId="1899702982">
    <w:abstractNumId w:val="31"/>
  </w:num>
  <w:num w:numId="39" w16cid:durableId="1205211314">
    <w:abstractNumId w:val="15"/>
  </w:num>
  <w:num w:numId="40" w16cid:durableId="42563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B0AD4"/>
    <w:rsid w:val="001B2074"/>
    <w:rsid w:val="001D146D"/>
    <w:rsid w:val="001F203D"/>
    <w:rsid w:val="002041D4"/>
    <w:rsid w:val="00237EEB"/>
    <w:rsid w:val="00250223"/>
    <w:rsid w:val="002531AB"/>
    <w:rsid w:val="00283868"/>
    <w:rsid w:val="00297264"/>
    <w:rsid w:val="00301B9F"/>
    <w:rsid w:val="003065E8"/>
    <w:rsid w:val="00337BAA"/>
    <w:rsid w:val="00355C9A"/>
    <w:rsid w:val="00380CFC"/>
    <w:rsid w:val="003908D0"/>
    <w:rsid w:val="003A1646"/>
    <w:rsid w:val="003B14B2"/>
    <w:rsid w:val="003B3F6A"/>
    <w:rsid w:val="003C5704"/>
    <w:rsid w:val="003D481C"/>
    <w:rsid w:val="003E35F9"/>
    <w:rsid w:val="003F4125"/>
    <w:rsid w:val="00463347"/>
    <w:rsid w:val="00482597"/>
    <w:rsid w:val="004E5605"/>
    <w:rsid w:val="004F554A"/>
    <w:rsid w:val="005368B3"/>
    <w:rsid w:val="00597B0B"/>
    <w:rsid w:val="005D2AC7"/>
    <w:rsid w:val="00664946"/>
    <w:rsid w:val="00693778"/>
    <w:rsid w:val="006C264A"/>
    <w:rsid w:val="007362AD"/>
    <w:rsid w:val="00775253"/>
    <w:rsid w:val="007965DE"/>
    <w:rsid w:val="007A6522"/>
    <w:rsid w:val="007A7C9F"/>
    <w:rsid w:val="007D1B14"/>
    <w:rsid w:val="007E724C"/>
    <w:rsid w:val="007F4C42"/>
    <w:rsid w:val="007F534F"/>
    <w:rsid w:val="00806545"/>
    <w:rsid w:val="008268E6"/>
    <w:rsid w:val="00837AE7"/>
    <w:rsid w:val="00850B77"/>
    <w:rsid w:val="00872015"/>
    <w:rsid w:val="008726A2"/>
    <w:rsid w:val="00874BD1"/>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65C21"/>
    <w:rsid w:val="00D87390"/>
    <w:rsid w:val="00D912FC"/>
    <w:rsid w:val="00DA457C"/>
    <w:rsid w:val="00DD7BB5"/>
    <w:rsid w:val="00E103D9"/>
    <w:rsid w:val="00E22B40"/>
    <w:rsid w:val="00E337B6"/>
    <w:rsid w:val="00E73C07"/>
    <w:rsid w:val="00E7699B"/>
    <w:rsid w:val="00E82141"/>
    <w:rsid w:val="00E82F82"/>
    <w:rsid w:val="00EE02B8"/>
    <w:rsid w:val="00EF507C"/>
    <w:rsid w:val="00F12F93"/>
    <w:rsid w:val="00F34DD3"/>
    <w:rsid w:val="00F51772"/>
    <w:rsid w:val="00F55E4D"/>
    <w:rsid w:val="00F6610C"/>
    <w:rsid w:val="00F754EC"/>
    <w:rsid w:val="00FA1699"/>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3365-B4C3-4514-87DB-116D398C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Janet Buckley</cp:lastModifiedBy>
  <cp:revision>3</cp:revision>
  <cp:lastPrinted>2020-09-09T11:24:00Z</cp:lastPrinted>
  <dcterms:created xsi:type="dcterms:W3CDTF">2025-10-22T10:27:00Z</dcterms:created>
  <dcterms:modified xsi:type="dcterms:W3CDTF">2025-10-22T10:44:00Z</dcterms:modified>
</cp:coreProperties>
</file>