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85A71CB" w:rsidR="003B26AF" w:rsidRPr="000A36FB" w:rsidRDefault="003B26AF" w:rsidP="00BD24BD">
      <w:pPr>
        <w:pStyle w:val="Heading1"/>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3CDFFBE1" w:rsidR="00702B37" w:rsidRPr="00702B37" w:rsidRDefault="00F2496A" w:rsidP="00BD24BD">
      <w:pPr>
        <w:pStyle w:val="Heading1"/>
      </w:pPr>
      <w:r>
        <w:t>SCHOOL</w:t>
      </w:r>
      <w:r w:rsidR="00702B37" w:rsidRPr="00702B37">
        <w:t>:</w:t>
      </w:r>
      <w:r w:rsidR="00D8147A">
        <w:t xml:space="preserve"> </w:t>
      </w:r>
      <w:r w:rsidR="00D8147A" w:rsidRPr="009535EC">
        <w:rPr>
          <w:b w:val="0"/>
        </w:rPr>
        <w:t>St Mary Magdalene Catholic Primary</w:t>
      </w:r>
    </w:p>
    <w:p w14:paraId="5EFE2D31" w14:textId="7DEC1226" w:rsidR="00702B37" w:rsidRPr="00702B37" w:rsidRDefault="00702B37" w:rsidP="00BD24BD">
      <w:pPr>
        <w:pStyle w:val="Heading1"/>
      </w:pPr>
      <w:r w:rsidRPr="00702B37">
        <w:t>LOCATION:</w:t>
      </w:r>
      <w:r w:rsidR="00D8147A">
        <w:t xml:space="preserve"> </w:t>
      </w:r>
      <w:r w:rsidR="00D8147A" w:rsidRPr="009535EC">
        <w:rPr>
          <w:b w:val="0"/>
        </w:rPr>
        <w:t>Bexhill On Sea</w:t>
      </w:r>
      <w:r w:rsidR="00D8147A">
        <w:t xml:space="preserve"> </w:t>
      </w:r>
    </w:p>
    <w:p w14:paraId="5BCC6FCD" w14:textId="640C4662" w:rsidR="00702B37" w:rsidRPr="00702B37" w:rsidRDefault="00702B37" w:rsidP="00BD24BD">
      <w:pPr>
        <w:pStyle w:val="Heading1"/>
      </w:pPr>
      <w:r w:rsidRPr="00702B37">
        <w:t>GRADE:</w:t>
      </w:r>
      <w:r w:rsidR="001C6625">
        <w:t xml:space="preserve"> </w:t>
      </w:r>
      <w:r w:rsidR="00D8147A" w:rsidRPr="009535EC">
        <w:rPr>
          <w:b w:val="0"/>
        </w:rPr>
        <w:t>Teacher Main Pay Grade</w:t>
      </w:r>
      <w:r w:rsidR="001C6625" w:rsidRPr="001C6625">
        <w:rPr>
          <w:b w:val="0"/>
          <w:bCs w:val="0"/>
        </w:rPr>
        <w:t xml:space="preserve"> </w:t>
      </w:r>
      <w:r w:rsidR="0069325F">
        <w:rPr>
          <w:b w:val="0"/>
          <w:bCs w:val="0"/>
        </w:rPr>
        <w:t>/ Upper Pay Grade</w:t>
      </w:r>
    </w:p>
    <w:p w14:paraId="68ECC8DF" w14:textId="69357EB7" w:rsidR="00702B37" w:rsidRPr="009535EC" w:rsidRDefault="00702B37" w:rsidP="00BD24BD">
      <w:pPr>
        <w:pStyle w:val="Heading1"/>
        <w:spacing w:line="480" w:lineRule="auto"/>
        <w:rPr>
          <w:b w:val="0"/>
          <w:bCs w:val="0"/>
        </w:rPr>
      </w:pPr>
      <w:r w:rsidRPr="00702B37">
        <w:t>RESPONSIBLE TO:</w:t>
      </w:r>
      <w:r w:rsidR="001C6625">
        <w:rPr>
          <w:b w:val="0"/>
          <w:bCs w:val="0"/>
        </w:rPr>
        <w:t xml:space="preserve"> </w:t>
      </w:r>
      <w:r w:rsidR="001C6625" w:rsidRPr="009535EC">
        <w:rPr>
          <w:b w:val="0"/>
          <w:bCs w:val="0"/>
        </w:rPr>
        <w:t>Headteacher</w:t>
      </w:r>
    </w:p>
    <w:p w14:paraId="37D647D7" w14:textId="77777777" w:rsidR="003B26AF" w:rsidRDefault="003B26AF" w:rsidP="00BD24BD">
      <w:pPr>
        <w:pStyle w:val="Heading1"/>
      </w:pPr>
      <w:r>
        <w:t>Purpose of the Role:</w:t>
      </w:r>
    </w:p>
    <w:p w14:paraId="5EDD45DF" w14:textId="4F1BBF43"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bookmarkStart w:id="0" w:name="_GoBack"/>
      <w:bookmarkEnd w:id="0"/>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6855D94"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F93D4F0" w:rsidR="009A5FDC" w:rsidRDefault="009A5FDC" w:rsidP="00D137F8">
      <w:pPr>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655CF971" w14:textId="77777777" w:rsidR="00D137F8" w:rsidRPr="009A5FDC" w:rsidRDefault="00D137F8" w:rsidP="00D137F8">
      <w:pPr>
        <w:rPr>
          <w:rFonts w:ascii="Arial" w:hAnsi="Arial" w:cs="Arial"/>
          <w:spacing w:val="6"/>
        </w:rPr>
      </w:pPr>
    </w:p>
    <w:p w14:paraId="5233C026" w14:textId="34B99736" w:rsidR="009A5FDC" w:rsidRPr="009A5FDC" w:rsidRDefault="009A5FDC" w:rsidP="009535EC">
      <w:pPr>
        <w:pStyle w:val="ListParagraph"/>
        <w:numPr>
          <w:ilvl w:val="0"/>
          <w:numId w:val="12"/>
        </w:numPr>
        <w:rPr>
          <w:rFonts w:ascii="Arial" w:hAnsi="Arial" w:cs="Arial"/>
          <w:spacing w:val="6"/>
        </w:rPr>
      </w:pPr>
      <w:r w:rsidRPr="009A5FDC">
        <w:rPr>
          <w:rFonts w:ascii="Arial" w:hAnsi="Arial" w:cs="Arial"/>
          <w:spacing w:val="6"/>
        </w:rPr>
        <w:t xml:space="preserve">Identifying clear </w:t>
      </w:r>
      <w:r w:rsidR="00860EBC">
        <w:rPr>
          <w:rFonts w:ascii="Arial" w:hAnsi="Arial" w:cs="Arial"/>
          <w:spacing w:val="6"/>
        </w:rPr>
        <w:t>learning</w:t>
      </w:r>
      <w:r w:rsidRPr="009A5FDC">
        <w:rPr>
          <w:rFonts w:ascii="Arial" w:hAnsi="Arial" w:cs="Arial"/>
          <w:spacing w:val="6"/>
        </w:rPr>
        <w:t xml:space="preserve"> </w:t>
      </w:r>
      <w:r w:rsidR="00860EBC">
        <w:rPr>
          <w:rFonts w:ascii="Arial" w:hAnsi="Arial" w:cs="Arial"/>
          <w:spacing w:val="6"/>
        </w:rPr>
        <w:t>intentions</w:t>
      </w:r>
      <w:r w:rsidRPr="009A5FDC">
        <w:rPr>
          <w:rFonts w:ascii="Arial" w:hAnsi="Arial" w:cs="Arial"/>
          <w:spacing w:val="6"/>
        </w:rPr>
        <w:t xml:space="preserve"> and specifying how they will be taught and assessed;</w:t>
      </w:r>
    </w:p>
    <w:p w14:paraId="265F5683" w14:textId="77777777" w:rsidR="009A5FDC" w:rsidRPr="009A5FDC" w:rsidRDefault="009A5FDC" w:rsidP="009535EC">
      <w:pPr>
        <w:pStyle w:val="ListParagraph"/>
        <w:numPr>
          <w:ilvl w:val="0"/>
          <w:numId w:val="12"/>
        </w:numPr>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9535EC">
      <w:pPr>
        <w:pStyle w:val="ListParagraph"/>
        <w:numPr>
          <w:ilvl w:val="0"/>
          <w:numId w:val="12"/>
        </w:numPr>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9535EC">
      <w:pPr>
        <w:pStyle w:val="ListParagraph"/>
        <w:numPr>
          <w:ilvl w:val="0"/>
          <w:numId w:val="12"/>
        </w:numPr>
        <w:rPr>
          <w:rFonts w:ascii="Arial" w:hAnsi="Arial" w:cs="Arial"/>
          <w:spacing w:val="6"/>
        </w:rPr>
      </w:pPr>
      <w:r w:rsidRPr="009A5FDC">
        <w:rPr>
          <w:rFonts w:ascii="Arial" w:hAnsi="Arial" w:cs="Arial"/>
          <w:spacing w:val="6"/>
        </w:rPr>
        <w:t>setting clear targets, building on prior attainment;</w:t>
      </w:r>
    </w:p>
    <w:p w14:paraId="7C5B0B38" w14:textId="777AB0C9" w:rsidR="009A5FDC" w:rsidRPr="009A5FDC" w:rsidRDefault="009A5FDC" w:rsidP="009535EC">
      <w:pPr>
        <w:pStyle w:val="ListParagraph"/>
        <w:numPr>
          <w:ilvl w:val="0"/>
          <w:numId w:val="12"/>
        </w:numPr>
        <w:rPr>
          <w:rFonts w:ascii="Arial" w:hAnsi="Arial" w:cs="Arial"/>
          <w:spacing w:val="6"/>
        </w:rPr>
      </w:pPr>
      <w:r w:rsidRPr="009A5FDC">
        <w:rPr>
          <w:rFonts w:ascii="Arial" w:hAnsi="Arial" w:cs="Arial"/>
          <w:spacing w:val="6"/>
        </w:rPr>
        <w:t>be aware of and mak</w:t>
      </w:r>
      <w:r w:rsidR="00860EBC">
        <w:rPr>
          <w:rFonts w:ascii="Arial" w:hAnsi="Arial" w:cs="Arial"/>
          <w:spacing w:val="6"/>
        </w:rPr>
        <w:t>e</w:t>
      </w:r>
      <w:r w:rsidRPr="009A5FDC">
        <w:rPr>
          <w:rFonts w:ascii="Arial" w:hAnsi="Arial" w:cs="Arial"/>
          <w:spacing w:val="6"/>
        </w:rPr>
        <w:t xml:space="preserve"> provision for pupils who are AEN/SEN, very able, LAC or who have other particular needs;</w:t>
      </w:r>
    </w:p>
    <w:p w14:paraId="3036EE24" w14:textId="356CB38A" w:rsidR="009A5FDC" w:rsidRPr="009535EC" w:rsidRDefault="009A5FDC" w:rsidP="009535EC">
      <w:pPr>
        <w:pStyle w:val="ListParagraph"/>
        <w:numPr>
          <w:ilvl w:val="0"/>
          <w:numId w:val="12"/>
        </w:numPr>
        <w:rPr>
          <w:rFonts w:ascii="Arial" w:hAnsi="Arial" w:cs="Arial"/>
          <w:spacing w:val="6"/>
        </w:rPr>
      </w:pPr>
      <w:r w:rsidRPr="009A5FDC">
        <w:rPr>
          <w:rFonts w:ascii="Arial" w:hAnsi="Arial" w:cs="Arial"/>
          <w:spacing w:val="6"/>
        </w:rPr>
        <w:t xml:space="preserve">providing clear structures for lessons maintaining pace, motivation </w:t>
      </w:r>
      <w:r w:rsidRPr="009535EC">
        <w:rPr>
          <w:rFonts w:ascii="Arial" w:hAnsi="Arial" w:cs="Arial"/>
          <w:spacing w:val="6"/>
        </w:rPr>
        <w:t>and challenge;</w:t>
      </w:r>
    </w:p>
    <w:p w14:paraId="465A9B84"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making effective use of assessment and ensure coverage of programmes of study;</w:t>
      </w:r>
    </w:p>
    <w:p w14:paraId="1D0CF8E3"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lastRenderedPageBreak/>
        <w:t xml:space="preserve">encouraging good practice with regard to punctuality, behaviour, </w:t>
      </w:r>
    </w:p>
    <w:p w14:paraId="630F5D76" w14:textId="6CA0BF70"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34FF41E4" w:rsid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3F8F8CFD" w14:textId="77777777" w:rsidR="009535EC" w:rsidRPr="009A5FDC" w:rsidRDefault="009535EC" w:rsidP="009535EC">
      <w:pPr>
        <w:pStyle w:val="ListParagraph"/>
        <w:ind w:left="1080"/>
        <w:rPr>
          <w:rFonts w:ascii="Arial" w:hAnsi="Arial" w:cs="Arial"/>
          <w:spacing w:val="4"/>
        </w:rPr>
      </w:pPr>
    </w:p>
    <w:p w14:paraId="6D254831"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2BA56946"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encouraging pupils to think and talk about their learning, develop self</w:t>
      </w:r>
      <w:r w:rsidR="009535EC">
        <w:rPr>
          <w:rFonts w:ascii="Arial" w:hAnsi="Arial" w:cs="Arial"/>
          <w:spacing w:val="6"/>
        </w:rPr>
        <w:t>-</w:t>
      </w:r>
      <w:r w:rsidRPr="009A5FDC">
        <w:rPr>
          <w:rFonts w:ascii="Arial" w:hAnsi="Arial" w:cs="Arial"/>
          <w:spacing w:val="6"/>
        </w:rPr>
        <w:t>control and independence, concentrate and persevere, and listen attentively;</w:t>
      </w:r>
    </w:p>
    <w:p w14:paraId="207D278E" w14:textId="3628EFCF"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01467DCC"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assess how well learning </w:t>
      </w:r>
      <w:r w:rsidR="00860EBC">
        <w:rPr>
          <w:rFonts w:ascii="Arial" w:hAnsi="Arial" w:cs="Arial"/>
          <w:spacing w:val="6"/>
        </w:rPr>
        <w:t>intentions</w:t>
      </w:r>
      <w:r w:rsidRPr="009A5FDC">
        <w:rPr>
          <w:rFonts w:ascii="Arial" w:hAnsi="Arial" w:cs="Arial"/>
          <w:spacing w:val="6"/>
        </w:rPr>
        <w:t xml:space="preserve"> have been achieved and use them to improve specific aspects of teaching;</w:t>
      </w:r>
    </w:p>
    <w:p w14:paraId="7FD4ABA4"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t>Curriculum Development</w:t>
      </w:r>
    </w:p>
    <w:p w14:paraId="39A52C6F"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contribute to the whole school's planning activities</w:t>
      </w:r>
    </w:p>
    <w:p w14:paraId="10A6746C" w14:textId="5F185B35"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liaise with the </w:t>
      </w:r>
      <w:r w:rsidR="009535EC">
        <w:rPr>
          <w:rFonts w:ascii="Arial" w:hAnsi="Arial" w:cs="Arial"/>
          <w:spacing w:val="6"/>
        </w:rPr>
        <w:t xml:space="preserve">SLT </w:t>
      </w:r>
      <w:r w:rsidRPr="009A5FDC">
        <w:rPr>
          <w:rFonts w:ascii="Arial" w:hAnsi="Arial" w:cs="Arial"/>
          <w:spacing w:val="6"/>
        </w:rPr>
        <w:t>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5DB2BCC"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 xml:space="preserve">To co-operate with the aims and objectives of our </w:t>
      </w:r>
      <w:r w:rsidR="009535EC">
        <w:rPr>
          <w:rFonts w:ascii="Arial" w:hAnsi="Arial" w:cs="Arial"/>
          <w:spacing w:val="6"/>
        </w:rPr>
        <w:t>Catholic</w:t>
      </w:r>
      <w:r w:rsidRPr="009A5FDC">
        <w:rPr>
          <w:rFonts w:ascii="Arial" w:hAnsi="Arial" w:cs="Arial"/>
          <w:spacing w:val="6"/>
        </w:rPr>
        <w:t xml:space="preserve"> school, contributing towards a positive C</w:t>
      </w:r>
      <w:r w:rsidR="009535EC">
        <w:rPr>
          <w:rFonts w:ascii="Arial" w:hAnsi="Arial" w:cs="Arial"/>
          <w:spacing w:val="6"/>
        </w:rPr>
        <w:t>atholic</w:t>
      </w:r>
      <w:r w:rsidRPr="009A5FDC">
        <w:rPr>
          <w:rFonts w:ascii="Arial" w:hAnsi="Arial" w:cs="Arial"/>
          <w:spacing w:val="6"/>
        </w:rPr>
        <w:t xml:space="preserve"> ethos by showing kindness and courtesy towards all members of the school community and leading worship with pupils;</w:t>
      </w:r>
    </w:p>
    <w:p w14:paraId="716B3E89"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9535EC">
      <w:pPr>
        <w:pStyle w:val="ListParagraph"/>
        <w:numPr>
          <w:ilvl w:val="0"/>
          <w:numId w:val="12"/>
        </w:numPr>
        <w:spacing w:after="200"/>
        <w:rPr>
          <w:rFonts w:ascii="Arial" w:hAnsi="Arial" w:cs="Arial"/>
          <w:spacing w:val="6"/>
        </w:rPr>
      </w:pPr>
      <w:r w:rsidRPr="009A5FDC">
        <w:rPr>
          <w:rFonts w:ascii="Arial" w:hAnsi="Arial" w:cs="Arial"/>
          <w:spacing w:val="6"/>
        </w:rPr>
        <w:lastRenderedPageBreak/>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9535EC">
      <w:pPr>
        <w:pStyle w:val="ListParagraph"/>
        <w:numPr>
          <w:ilvl w:val="0"/>
          <w:numId w:val="12"/>
        </w:numPr>
        <w:spacing w:after="200"/>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9535EC">
      <w:pPr>
        <w:pStyle w:val="ListParagraph"/>
        <w:numPr>
          <w:ilvl w:val="0"/>
          <w:numId w:val="12"/>
        </w:numPr>
        <w:spacing w:after="200"/>
        <w:rPr>
          <w:rFonts w:ascii="Arial" w:hAnsi="Arial" w:cs="Arial"/>
        </w:rPr>
      </w:pPr>
      <w:r w:rsidRPr="002E735C">
        <w:rPr>
          <w:rFonts w:ascii="Arial" w:hAnsi="Arial" w:cs="Arial"/>
        </w:rPr>
        <w:t>operate at all times within the stated policies and practices of the school;</w:t>
      </w:r>
    </w:p>
    <w:p w14:paraId="0AF8A6D1" w14:textId="77777777" w:rsidR="009A5FDC" w:rsidRDefault="009A5FDC" w:rsidP="009535EC">
      <w:pPr>
        <w:pStyle w:val="ListParagraph"/>
        <w:numPr>
          <w:ilvl w:val="0"/>
          <w:numId w:val="12"/>
        </w:numPr>
        <w:spacing w:after="200"/>
        <w:rPr>
          <w:rFonts w:ascii="Arial" w:hAnsi="Arial" w:cs="Arial"/>
        </w:rPr>
      </w:pPr>
      <w:r w:rsidRPr="002E735C">
        <w:rPr>
          <w:rFonts w:ascii="Arial" w:hAnsi="Arial" w:cs="Arial"/>
        </w:rPr>
        <w:t>take account of wider curriculum developments;</w:t>
      </w:r>
    </w:p>
    <w:p w14:paraId="32250DF3" w14:textId="71944EE9" w:rsidR="009A5FDC" w:rsidRPr="009535EC" w:rsidRDefault="009A5FDC" w:rsidP="009535EC">
      <w:pPr>
        <w:pStyle w:val="ListParagraph"/>
        <w:numPr>
          <w:ilvl w:val="0"/>
          <w:numId w:val="12"/>
        </w:numPr>
        <w:spacing w:after="200"/>
        <w:rPr>
          <w:rFonts w:ascii="Arial" w:hAnsi="Arial" w:cs="Arial"/>
        </w:rPr>
      </w:pPr>
      <w:r w:rsidRPr="009535EC">
        <w:rPr>
          <w:rFonts w:ascii="Arial" w:hAnsi="Arial" w:cs="Arial"/>
        </w:rPr>
        <w:t>establish effective working relationships and set a good example through their presentation and personal and professional conduct;</w:t>
      </w:r>
    </w:p>
    <w:p w14:paraId="5294E3C8" w14:textId="77777777" w:rsidR="009A5FDC" w:rsidRDefault="009A5FDC" w:rsidP="009535EC">
      <w:pPr>
        <w:pStyle w:val="ListParagraph"/>
        <w:numPr>
          <w:ilvl w:val="0"/>
          <w:numId w:val="12"/>
        </w:numPr>
        <w:spacing w:after="200"/>
        <w:rPr>
          <w:rFonts w:ascii="Arial" w:hAnsi="Arial" w:cs="Arial"/>
        </w:rPr>
      </w:pPr>
      <w:r w:rsidRPr="002E735C">
        <w:rPr>
          <w:rFonts w:ascii="Arial" w:hAnsi="Arial" w:cs="Arial"/>
        </w:rPr>
        <w:t>endeavour to give every child the opportunity to reach their potential and meet high expectations;</w:t>
      </w:r>
    </w:p>
    <w:p w14:paraId="66EA4F98" w14:textId="77777777" w:rsidR="009A5FDC" w:rsidRDefault="009A5FDC" w:rsidP="009535EC">
      <w:pPr>
        <w:pStyle w:val="ListParagraph"/>
        <w:numPr>
          <w:ilvl w:val="0"/>
          <w:numId w:val="12"/>
        </w:numPr>
        <w:spacing w:after="200"/>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4D92DC95" w:rsidR="009A5FDC" w:rsidRDefault="009A5FDC" w:rsidP="009535EC">
      <w:pPr>
        <w:pStyle w:val="ListParagraph"/>
        <w:numPr>
          <w:ilvl w:val="0"/>
          <w:numId w:val="12"/>
        </w:numPr>
        <w:spacing w:after="200"/>
        <w:rPr>
          <w:rFonts w:ascii="Arial" w:hAnsi="Arial" w:cs="Arial"/>
        </w:rPr>
      </w:pPr>
      <w:r w:rsidRPr="002E735C">
        <w:rPr>
          <w:rFonts w:ascii="Arial" w:hAnsi="Arial" w:cs="Arial"/>
        </w:rPr>
        <w:t>take part in marketing and liaison activities such as Open Evenings, Parents Evenings, Review days and events with partner schools</w:t>
      </w:r>
      <w:r w:rsidR="009535EC">
        <w:rPr>
          <w:rFonts w:ascii="Arial" w:hAnsi="Arial" w:cs="Arial"/>
        </w:rPr>
        <w:t xml:space="preserve"> including Deanery schools;</w:t>
      </w:r>
    </w:p>
    <w:p w14:paraId="24976D1D" w14:textId="77777777" w:rsidR="009A5FDC" w:rsidRDefault="009A5FDC" w:rsidP="009535EC">
      <w:pPr>
        <w:pStyle w:val="ListParagraph"/>
        <w:numPr>
          <w:ilvl w:val="0"/>
          <w:numId w:val="12"/>
        </w:numPr>
        <w:spacing w:after="200"/>
        <w:rPr>
          <w:rFonts w:ascii="Arial" w:hAnsi="Arial" w:cs="Arial"/>
        </w:rPr>
      </w:pPr>
      <w:r w:rsidRPr="002E735C">
        <w:rPr>
          <w:rFonts w:ascii="Arial" w:hAnsi="Arial" w:cs="Arial"/>
        </w:rPr>
        <w:t>take responsibility for own professional development and duties in relation to school policies and practices;</w:t>
      </w:r>
    </w:p>
    <w:p w14:paraId="556C2755" w14:textId="2EAC86DB" w:rsidR="009A5FDC" w:rsidRDefault="009A5FDC" w:rsidP="009535EC">
      <w:pPr>
        <w:pStyle w:val="ListParagraph"/>
        <w:numPr>
          <w:ilvl w:val="0"/>
          <w:numId w:val="12"/>
        </w:numPr>
        <w:spacing w:after="200"/>
        <w:rPr>
          <w:rFonts w:ascii="Arial" w:hAnsi="Arial" w:cs="Arial"/>
        </w:rPr>
      </w:pPr>
      <w:r w:rsidRPr="002E735C">
        <w:rPr>
          <w:rFonts w:ascii="Arial" w:hAnsi="Arial" w:cs="Arial"/>
        </w:rPr>
        <w:t>liaise effectively with parents and governors</w:t>
      </w:r>
      <w:r w:rsidR="009535EC">
        <w:rPr>
          <w:rFonts w:ascii="Arial" w:hAnsi="Arial" w:cs="Arial"/>
        </w:rPr>
        <w:t xml:space="preserve"> and SLT.</w:t>
      </w:r>
    </w:p>
    <w:p w14:paraId="312DD1FB" w14:textId="77777777" w:rsidR="009A5FDC" w:rsidRDefault="009A5FDC" w:rsidP="009535EC">
      <w:pPr>
        <w:pStyle w:val="ListParagraph"/>
        <w:rPr>
          <w:rFonts w:ascii="Arial" w:hAnsi="Arial" w:cs="Arial"/>
        </w:rPr>
      </w:pPr>
    </w:p>
    <w:p w14:paraId="21C1C032" w14:textId="44250225" w:rsidR="009A5FDC" w:rsidRPr="009A5FDC" w:rsidRDefault="009A5FDC" w:rsidP="009535EC">
      <w:pPr>
        <w:spacing w:after="200"/>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9535EC">
      <w:pPr>
        <w:spacing w:after="200"/>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9535EC">
      <w:pPr>
        <w:spacing w:after="200"/>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9535EC">
      <w:pPr>
        <w:spacing w:after="200"/>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41267B08" w:rsidR="00726AC3" w:rsidRPr="009A5FDC" w:rsidRDefault="009A5FDC" w:rsidP="009535EC">
      <w:pPr>
        <w:spacing w:after="200"/>
        <w:rPr>
          <w:rFonts w:ascii="Arial" w:hAnsi="Arial" w:cs="Arial"/>
        </w:rPr>
      </w:pPr>
      <w:r w:rsidRPr="009A5FDC">
        <w:rPr>
          <w:rFonts w:ascii="Arial" w:hAnsi="Arial" w:cs="Arial"/>
        </w:rPr>
        <w:t xml:space="preserve">All </w:t>
      </w:r>
      <w:r w:rsidR="00D8147A" w:rsidRPr="009A5FDC">
        <w:rPr>
          <w:rFonts w:ascii="Arial" w:hAnsi="Arial" w:cs="Arial"/>
        </w:rPr>
        <w:t>school-based</w:t>
      </w:r>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1AC32F63" w:rsidR="00C374FD" w:rsidRPr="009A5FDC" w:rsidRDefault="00C374FD" w:rsidP="00BD24BD">
      <w:pPr>
        <w:pStyle w:val="Heading1"/>
        <w:rPr>
          <w:b w:val="0"/>
          <w:bCs w:val="0"/>
        </w:rPr>
      </w:pPr>
      <w:r w:rsidRPr="00702B37">
        <w:t>GRADE:</w:t>
      </w:r>
      <w:r w:rsidR="009A5FDC">
        <w:rPr>
          <w:b w:val="0"/>
          <w:bCs w:val="0"/>
        </w:rPr>
        <w:t xml:space="preserve"> Main</w:t>
      </w:r>
      <w:r w:rsidR="009535EC">
        <w:rPr>
          <w:b w:val="0"/>
          <w:bCs w:val="0"/>
        </w:rPr>
        <w:t xml:space="preserve"> </w:t>
      </w:r>
      <w:r w:rsidR="009A5FDC">
        <w:rPr>
          <w:b w:val="0"/>
          <w:bCs w:val="0"/>
        </w:rPr>
        <w:t>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6D3C3073" w:rsidR="00107114" w:rsidRPr="00672FBA" w:rsidRDefault="00107114" w:rsidP="009535EC">
            <w:pPr>
              <w:numPr>
                <w:ilvl w:val="0"/>
                <w:numId w:val="1"/>
              </w:numPr>
              <w:tabs>
                <w:tab w:val="left" w:pos="448"/>
              </w:tabs>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91B9234" w:rsidR="00107114" w:rsidRPr="00672FBA" w:rsidRDefault="00107114" w:rsidP="009535EC">
            <w:pPr>
              <w:numPr>
                <w:ilvl w:val="0"/>
                <w:numId w:val="1"/>
              </w:numPr>
              <w:tabs>
                <w:tab w:val="left" w:pos="448"/>
              </w:tabs>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449041E1" w:rsidR="00107114" w:rsidRPr="00672FBA" w:rsidRDefault="00107114" w:rsidP="009535EC">
            <w:pPr>
              <w:numPr>
                <w:ilvl w:val="0"/>
                <w:numId w:val="1"/>
              </w:numPr>
              <w:tabs>
                <w:tab w:val="left" w:pos="448"/>
              </w:tabs>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425150A9" w:rsidR="00107114" w:rsidRPr="00672FBA" w:rsidRDefault="00107114" w:rsidP="009535EC">
            <w:pPr>
              <w:numPr>
                <w:ilvl w:val="0"/>
                <w:numId w:val="1"/>
              </w:numPr>
              <w:tabs>
                <w:tab w:val="left" w:pos="448"/>
              </w:tabs>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30AEF09C" w:rsidR="00107114" w:rsidRDefault="00107114" w:rsidP="009535EC">
            <w:pPr>
              <w:numPr>
                <w:ilvl w:val="0"/>
                <w:numId w:val="1"/>
              </w:numPr>
              <w:tabs>
                <w:tab w:val="left" w:pos="448"/>
              </w:tabs>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1942BF3B" w:rsidR="00107114" w:rsidRDefault="00107114" w:rsidP="009535EC">
            <w:pPr>
              <w:numPr>
                <w:ilvl w:val="0"/>
                <w:numId w:val="1"/>
              </w:numPr>
              <w:tabs>
                <w:tab w:val="left" w:pos="448"/>
              </w:tabs>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9535EC">
            <w:pPr>
              <w:numPr>
                <w:ilvl w:val="0"/>
                <w:numId w:val="1"/>
              </w:numPr>
              <w:tabs>
                <w:tab w:val="left" w:pos="448"/>
              </w:tabs>
              <w:ind w:left="448" w:hanging="284"/>
              <w:rPr>
                <w:rFonts w:ascii="Arial" w:hAnsi="Arial" w:cs="Arial"/>
              </w:rPr>
            </w:pPr>
            <w:r w:rsidRPr="00107114">
              <w:rPr>
                <w:rFonts w:ascii="Arial" w:hAnsi="Arial" w:cs="Arial"/>
              </w:rPr>
              <w:t>Excellent inter-personal skills</w:t>
            </w:r>
          </w:p>
          <w:p w14:paraId="4871DCB0" w14:textId="705F761A" w:rsidR="00107114" w:rsidRPr="00CC038E" w:rsidRDefault="00107114" w:rsidP="009535EC">
            <w:pPr>
              <w:numPr>
                <w:ilvl w:val="0"/>
                <w:numId w:val="1"/>
              </w:numPr>
              <w:tabs>
                <w:tab w:val="left" w:pos="448"/>
              </w:tabs>
              <w:ind w:left="448" w:hanging="284"/>
              <w:rPr>
                <w:rFonts w:ascii="Arial" w:hAnsi="Arial" w:cs="Arial"/>
              </w:rPr>
            </w:pPr>
            <w:r w:rsidRPr="00107114">
              <w:rPr>
                <w:rFonts w:ascii="Arial" w:hAnsi="Arial" w:cs="Arial"/>
              </w:rPr>
              <w:t>Excellent time and task management skills</w:t>
            </w:r>
          </w:p>
          <w:p w14:paraId="60616D13" w14:textId="3AEB4FC1" w:rsidR="00107114" w:rsidRPr="00CC038E" w:rsidRDefault="00107114" w:rsidP="009535EC">
            <w:pPr>
              <w:numPr>
                <w:ilvl w:val="0"/>
                <w:numId w:val="1"/>
              </w:numPr>
              <w:tabs>
                <w:tab w:val="left" w:pos="448"/>
              </w:tabs>
              <w:ind w:left="448" w:hanging="284"/>
              <w:rPr>
                <w:rFonts w:ascii="Arial" w:hAnsi="Arial" w:cs="Arial"/>
              </w:rPr>
            </w:pPr>
            <w:r w:rsidRPr="00107114">
              <w:rPr>
                <w:rFonts w:ascii="Arial" w:hAnsi="Arial" w:cs="Arial"/>
              </w:rPr>
              <w:t>Ability to work under pressure and to deadlines</w:t>
            </w:r>
          </w:p>
          <w:p w14:paraId="17242E3C" w14:textId="4CFDAD39" w:rsidR="00855F9E" w:rsidRPr="00107114" w:rsidRDefault="00107114" w:rsidP="009535EC">
            <w:pPr>
              <w:numPr>
                <w:ilvl w:val="0"/>
                <w:numId w:val="1"/>
              </w:numPr>
              <w:tabs>
                <w:tab w:val="left" w:pos="448"/>
              </w:tabs>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1C4BA6A" w:rsidR="009A5FDC" w:rsidRPr="00672FBA" w:rsidRDefault="009A5FDC" w:rsidP="009535EC">
            <w:pPr>
              <w:numPr>
                <w:ilvl w:val="0"/>
                <w:numId w:val="1"/>
              </w:numPr>
              <w:tabs>
                <w:tab w:val="left" w:pos="448"/>
              </w:tabs>
              <w:ind w:left="448" w:hanging="284"/>
              <w:rPr>
                <w:rFonts w:ascii="Arial" w:hAnsi="Arial" w:cs="Arial"/>
              </w:rPr>
            </w:pPr>
            <w:r>
              <w:rPr>
                <w:rFonts w:ascii="Arial" w:hAnsi="Arial" w:cs="Arial"/>
              </w:rPr>
              <w:t>A sound understanding of recent developments in the primary school curriculum</w:t>
            </w:r>
          </w:p>
          <w:p w14:paraId="63181B21" w14:textId="15AF53CB" w:rsidR="009A5FDC" w:rsidRDefault="009A5FDC" w:rsidP="009535EC">
            <w:pPr>
              <w:numPr>
                <w:ilvl w:val="0"/>
                <w:numId w:val="1"/>
              </w:numPr>
              <w:tabs>
                <w:tab w:val="left" w:pos="448"/>
              </w:tabs>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2330796F" w:rsidR="009A5FDC" w:rsidRPr="00672FBA" w:rsidRDefault="009A5FDC" w:rsidP="009535EC">
            <w:pPr>
              <w:numPr>
                <w:ilvl w:val="0"/>
                <w:numId w:val="1"/>
              </w:numPr>
              <w:tabs>
                <w:tab w:val="left" w:pos="448"/>
              </w:tabs>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9535EC">
            <w:pPr>
              <w:numPr>
                <w:ilvl w:val="0"/>
                <w:numId w:val="1"/>
              </w:numPr>
              <w:tabs>
                <w:tab w:val="left" w:pos="448"/>
              </w:tabs>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9478BE0"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Key Stage 1/Key Stage 2 classroom practice</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6F0DE657" w:rsidR="00AE4FEB" w:rsidRPr="002659C3" w:rsidRDefault="00D45C32" w:rsidP="009535EC">
            <w:pPr>
              <w:numPr>
                <w:ilvl w:val="0"/>
                <w:numId w:val="1"/>
              </w:numPr>
              <w:tabs>
                <w:tab w:val="left" w:pos="448"/>
              </w:tabs>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034A95DD" w:rsidR="00D45C32" w:rsidRPr="002659C3" w:rsidRDefault="00D45C32" w:rsidP="009535EC">
            <w:pPr>
              <w:numPr>
                <w:ilvl w:val="0"/>
                <w:numId w:val="1"/>
              </w:numPr>
              <w:tabs>
                <w:tab w:val="left" w:pos="448"/>
              </w:tabs>
              <w:ind w:left="448" w:hanging="284"/>
              <w:rPr>
                <w:rFonts w:ascii="Arial" w:hAnsi="Arial" w:cs="Arial"/>
              </w:rPr>
            </w:pPr>
            <w:r w:rsidRPr="002659C3">
              <w:rPr>
                <w:rFonts w:ascii="Arial" w:hAnsi="Arial" w:cs="Arial"/>
              </w:rPr>
              <w:t>Commitment to safeguarding and promoting the welfare of children and young people</w:t>
            </w:r>
          </w:p>
          <w:p w14:paraId="39AEE41F" w14:textId="5F63F54F" w:rsidR="00D45C32" w:rsidRPr="002659C3" w:rsidRDefault="00D45C32" w:rsidP="009535EC">
            <w:pPr>
              <w:numPr>
                <w:ilvl w:val="0"/>
                <w:numId w:val="1"/>
              </w:numPr>
              <w:tabs>
                <w:tab w:val="left" w:pos="448"/>
              </w:tabs>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35F9684D" w:rsidR="00D45C32" w:rsidRPr="002659C3" w:rsidRDefault="00D45C32" w:rsidP="009535EC">
            <w:pPr>
              <w:numPr>
                <w:ilvl w:val="0"/>
                <w:numId w:val="1"/>
              </w:numPr>
              <w:tabs>
                <w:tab w:val="left" w:pos="448"/>
              </w:tabs>
              <w:ind w:left="448" w:hanging="284"/>
              <w:rPr>
                <w:rFonts w:ascii="Arial" w:hAnsi="Arial" w:cs="Arial"/>
              </w:rPr>
            </w:pPr>
            <w:r w:rsidRPr="002659C3">
              <w:rPr>
                <w:rFonts w:ascii="Arial" w:hAnsi="Arial" w:cs="Arial"/>
              </w:rPr>
              <w:t>Commitment to equal opportunities within the whole school development plan</w:t>
            </w:r>
          </w:p>
          <w:p w14:paraId="19CC3F5C" w14:textId="2B33B945" w:rsidR="00D45C32" w:rsidRPr="002659C3" w:rsidRDefault="00D45C32" w:rsidP="009535EC">
            <w:pPr>
              <w:numPr>
                <w:ilvl w:val="0"/>
                <w:numId w:val="1"/>
              </w:numPr>
              <w:tabs>
                <w:tab w:val="left" w:pos="448"/>
              </w:tabs>
              <w:ind w:left="448" w:hanging="284"/>
              <w:rPr>
                <w:rFonts w:ascii="Arial" w:hAnsi="Arial" w:cs="Arial"/>
              </w:rPr>
            </w:pPr>
            <w:r w:rsidRPr="002659C3">
              <w:rPr>
                <w:rFonts w:ascii="Arial" w:hAnsi="Arial" w:cs="Arial"/>
              </w:rPr>
              <w:t xml:space="preserve">Commitment to partnership with </w:t>
            </w:r>
            <w:r w:rsidR="00860EBC">
              <w:rPr>
                <w:rFonts w:ascii="Arial" w:hAnsi="Arial" w:cs="Arial"/>
              </w:rPr>
              <w:t>g</w:t>
            </w:r>
            <w:r w:rsidRPr="002659C3">
              <w:rPr>
                <w:rFonts w:ascii="Arial" w:hAnsi="Arial" w:cs="Arial"/>
              </w:rPr>
              <w:t>overnors, school and parents</w:t>
            </w:r>
          </w:p>
          <w:p w14:paraId="42639995" w14:textId="195F4644" w:rsidR="002659C3" w:rsidRPr="00672FBA" w:rsidRDefault="002659C3" w:rsidP="009535EC">
            <w:pPr>
              <w:numPr>
                <w:ilvl w:val="0"/>
                <w:numId w:val="1"/>
              </w:numPr>
              <w:tabs>
                <w:tab w:val="left" w:pos="448"/>
              </w:tabs>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0854BD93" w:rsidR="002659C3" w:rsidRPr="002659C3" w:rsidRDefault="002659C3" w:rsidP="009535EC">
            <w:pPr>
              <w:numPr>
                <w:ilvl w:val="0"/>
                <w:numId w:val="1"/>
              </w:numPr>
              <w:tabs>
                <w:tab w:val="left" w:pos="448"/>
              </w:tabs>
              <w:ind w:left="448" w:hanging="284"/>
              <w:rPr>
                <w:rFonts w:ascii="Arial" w:hAnsi="Arial" w:cs="Arial"/>
              </w:rPr>
            </w:pP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94A68"/>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69325F"/>
    <w:rsid w:val="00702B37"/>
    <w:rsid w:val="00724550"/>
    <w:rsid w:val="00726AC3"/>
    <w:rsid w:val="00740F11"/>
    <w:rsid w:val="0075089B"/>
    <w:rsid w:val="00774351"/>
    <w:rsid w:val="0079600E"/>
    <w:rsid w:val="007E7490"/>
    <w:rsid w:val="00821AA1"/>
    <w:rsid w:val="00822730"/>
    <w:rsid w:val="00855DA9"/>
    <w:rsid w:val="00855F9E"/>
    <w:rsid w:val="00860EBC"/>
    <w:rsid w:val="008D1BDD"/>
    <w:rsid w:val="008F0E62"/>
    <w:rsid w:val="009222D6"/>
    <w:rsid w:val="00946CD4"/>
    <w:rsid w:val="009535EC"/>
    <w:rsid w:val="00975FE2"/>
    <w:rsid w:val="00984B26"/>
    <w:rsid w:val="009A5FDC"/>
    <w:rsid w:val="00A34D9B"/>
    <w:rsid w:val="00AE4FEB"/>
    <w:rsid w:val="00B05B0B"/>
    <w:rsid w:val="00B57549"/>
    <w:rsid w:val="00B82E31"/>
    <w:rsid w:val="00BD24BD"/>
    <w:rsid w:val="00C374FD"/>
    <w:rsid w:val="00C5268E"/>
    <w:rsid w:val="00C63B5F"/>
    <w:rsid w:val="00CE013C"/>
    <w:rsid w:val="00D137F8"/>
    <w:rsid w:val="00D45C32"/>
    <w:rsid w:val="00D8147A"/>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74D6-69F9-46C4-96DF-97352013AA14}">
  <ds:schemaRefs>
    <ds:schemaRef ds:uri="http://www.w3.org/XML/1998/namespace"/>
    <ds:schemaRef ds:uri="http://schemas.microsoft.com/office/infopath/2007/PartnerControls"/>
    <ds:schemaRef ds:uri="0edbdf58-cbf2-428a-80ab-aedffcd2a497"/>
    <ds:schemaRef ds:uri="http://schemas.microsoft.com/office/2006/documentManagement/types"/>
    <ds:schemaRef ds:uri="http://schemas.microsoft.com/office/2006/metadata/properties"/>
    <ds:schemaRef ds:uri="http://purl.org/dc/terms/"/>
    <ds:schemaRef ds:uri="http://purl.org/dc/elements/1.1/"/>
    <ds:schemaRef ds:uri="aff16a55-4394-436d-99d6-2892369010ec"/>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4.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DBA45-2D77-458D-97AB-149D8A55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 Mary Mags</dc:creator>
  <cp:keywords/>
  <dc:description/>
  <cp:lastModifiedBy>Paula Fitzgerald</cp:lastModifiedBy>
  <cp:revision>2</cp:revision>
  <cp:lastPrinted>2021-01-14T11:57:00Z</cp:lastPrinted>
  <dcterms:created xsi:type="dcterms:W3CDTF">2024-12-12T09:36:00Z</dcterms:created>
  <dcterms:modified xsi:type="dcterms:W3CDTF">2024-12-12T09:36:00Z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