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33463" cy="10191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Corpus Christi Catholic Primary School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Teacher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Enhanced DBS check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Commitment to safeguarding and promoting the welfare of children and young people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Willingness to work in a distinctively Catholic environment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Strong inclusive, teaching skills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behaviour management skills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Knowledge and understanding of the National Curriculum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Evidence of commitment to on-going professional development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communication skills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work effectively with parents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Commitment to providing outstanding pastoral care, positive values and role modelling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IT skills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Excellent team skills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Energy and enthusiasm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Positivity and optimism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GSOH!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Practi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ing Catholic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teaching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work successfully with outside agencies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Ability to analyse and use data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Understanding of SEN/ EAL issues within a school environment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practice in planning and assessment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360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