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24" w:rsidRPr="0027695F" w:rsidRDefault="00E07E24" w:rsidP="00E07E24">
      <w:pPr>
        <w:jc w:val="center"/>
        <w:rPr>
          <w:rFonts w:ascii="Calibri" w:eastAsia="Calibri" w:hAnsi="Calibri" w:cs="Calibri"/>
          <w:b/>
          <w:color w:val="538135" w:themeColor="accent6" w:themeShade="BF"/>
          <w:sz w:val="28"/>
          <w:szCs w:val="28"/>
        </w:rPr>
      </w:pPr>
      <w:r w:rsidRPr="0027695F">
        <w:rPr>
          <w:rFonts w:ascii="Calibri" w:eastAsia="Calibri" w:hAnsi="Calibri" w:cs="Calibri"/>
          <w:b/>
          <w:color w:val="538135" w:themeColor="accent6" w:themeShade="BF"/>
          <w:sz w:val="28"/>
          <w:szCs w:val="28"/>
        </w:rPr>
        <w:t>Recruitment and Selection Policy Statement</w:t>
      </w:r>
    </w:p>
    <w:p w:rsidR="00E07E24" w:rsidRPr="0027695F" w:rsidRDefault="00E07E24" w:rsidP="00E07E24">
      <w:pPr>
        <w:autoSpaceDE w:val="0"/>
        <w:autoSpaceDN w:val="0"/>
        <w:adjustRightInd w:val="0"/>
        <w:spacing w:after="0" w:line="240" w:lineRule="auto"/>
        <w:rPr>
          <w:rFonts w:ascii="Calibri" w:eastAsia="Calibri" w:hAnsi="Calibri" w:cs="Calibri"/>
          <w:color w:val="000000"/>
          <w:sz w:val="24"/>
          <w:szCs w:val="24"/>
        </w:rPr>
      </w:pPr>
    </w:p>
    <w:p w:rsidR="00E07E24" w:rsidRPr="0027695F" w:rsidRDefault="00E07E24" w:rsidP="00E07E24">
      <w:pPr>
        <w:numPr>
          <w:ilvl w:val="0"/>
          <w:numId w:val="1"/>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Diocese of Chelmsford Vine Schools Trust is committed to:</w:t>
      </w:r>
    </w:p>
    <w:p w:rsidR="00E07E24" w:rsidRPr="0027695F" w:rsidRDefault="00E07E24" w:rsidP="00E07E24">
      <w:pPr>
        <w:autoSpaceDE w:val="0"/>
        <w:autoSpaceDN w:val="0"/>
        <w:adjustRightInd w:val="0"/>
        <w:spacing w:after="0" w:line="240" w:lineRule="auto"/>
        <w:ind w:left="360"/>
        <w:rPr>
          <w:rFonts w:ascii="Calibri" w:eastAsia="Calibri" w:hAnsi="Calibri" w:cs="Calibri"/>
          <w:color w:val="000000"/>
          <w:sz w:val="24"/>
          <w:szCs w:val="24"/>
        </w:rPr>
      </w:pPr>
    </w:p>
    <w:p w:rsidR="00E07E24" w:rsidRPr="0027695F" w:rsidRDefault="00E07E24" w:rsidP="00E07E24">
      <w:pPr>
        <w:numPr>
          <w:ilvl w:val="0"/>
          <w:numId w:val="2"/>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safeguarding and promoting the welfare and safety, and the spiritual, moral, social and cultural development, of children and young people;</w:t>
      </w:r>
    </w:p>
    <w:p w:rsidR="00E07E24" w:rsidRPr="0027695F" w:rsidRDefault="00E07E24" w:rsidP="00E07E24">
      <w:pPr>
        <w:numPr>
          <w:ilvl w:val="0"/>
          <w:numId w:val="2"/>
        </w:numPr>
        <w:autoSpaceDE w:val="0"/>
        <w:autoSpaceDN w:val="0"/>
        <w:adjustRightInd w:val="0"/>
        <w:spacing w:after="0" w:line="240" w:lineRule="auto"/>
        <w:contextualSpacing/>
        <w:rPr>
          <w:rFonts w:ascii="Calibri" w:eastAsia="Calibri" w:hAnsi="Calibri" w:cs="Calibri"/>
          <w:color w:val="222222"/>
          <w:sz w:val="24"/>
          <w:szCs w:val="24"/>
        </w:rPr>
      </w:pPr>
      <w:r w:rsidRPr="0027695F">
        <w:rPr>
          <w:rFonts w:ascii="Calibri" w:eastAsia="Calibri" w:hAnsi="Calibri" w:cs="Calibri"/>
          <w:color w:val="000000"/>
          <w:sz w:val="24"/>
          <w:szCs w:val="24"/>
        </w:rPr>
        <w:t xml:space="preserve">promoting equality of opportunity and community cohesion where </w:t>
      </w:r>
      <w:r w:rsidRPr="0027695F">
        <w:rPr>
          <w:rFonts w:ascii="Calibri" w:eastAsia="Calibri" w:hAnsi="Calibri" w:cs="Calibri"/>
          <w:color w:val="222222"/>
          <w:sz w:val="24"/>
          <w:szCs w:val="24"/>
        </w:rPr>
        <w:t>the diversity of different backgrounds and circumstances is appreciated and positively valued;</w:t>
      </w:r>
    </w:p>
    <w:p w:rsidR="00E07E24" w:rsidRPr="0027695F" w:rsidRDefault="00E07E24" w:rsidP="00E07E24">
      <w:pPr>
        <w:numPr>
          <w:ilvl w:val="0"/>
          <w:numId w:val="2"/>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promoting the fundamental British values of democracy, the rule of law, individual liberty and mutual respect and tolerance for those with different faiths and beliefs.</w:t>
      </w:r>
    </w:p>
    <w:p w:rsidR="00E07E24" w:rsidRPr="0027695F" w:rsidRDefault="00E07E24" w:rsidP="00E07E24">
      <w:pPr>
        <w:autoSpaceDE w:val="0"/>
        <w:autoSpaceDN w:val="0"/>
        <w:adjustRightInd w:val="0"/>
        <w:spacing w:after="0" w:line="240" w:lineRule="auto"/>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Pr>
          <w:rFonts w:ascii="Calibri" w:eastAsia="Calibri" w:hAnsi="Calibri" w:cs="Calibri"/>
          <w:color w:val="000000"/>
          <w:sz w:val="24"/>
          <w:szCs w:val="24"/>
        </w:rPr>
        <w:t>The Vine Trust</w:t>
      </w:r>
      <w:r w:rsidRPr="0027695F">
        <w:rPr>
          <w:rFonts w:ascii="Calibri" w:eastAsia="Calibri" w:hAnsi="Calibri" w:cs="Calibri"/>
          <w:color w:val="000000"/>
          <w:sz w:val="24"/>
          <w:szCs w:val="24"/>
        </w:rPr>
        <w:t xml:space="preserve">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w:t>
      </w:r>
    </w:p>
    <w:p w:rsidR="00E07E24" w:rsidRPr="0027695F" w:rsidRDefault="00E07E24" w:rsidP="00E07E24">
      <w:pPr>
        <w:autoSpaceDE w:val="0"/>
        <w:autoSpaceDN w:val="0"/>
        <w:adjustRightInd w:val="0"/>
        <w:spacing w:after="0" w:line="240" w:lineRule="auto"/>
        <w:rPr>
          <w:rFonts w:ascii="Calibri" w:eastAsia="Calibri" w:hAnsi="Calibri" w:cs="Calibri"/>
          <w:color w:val="000000"/>
          <w:sz w:val="24"/>
          <w:szCs w:val="24"/>
        </w:rPr>
      </w:pPr>
    </w:p>
    <w:p w:rsidR="00E07E24" w:rsidRPr="0027695F" w:rsidRDefault="00E07E24" w:rsidP="00E07E24">
      <w:pPr>
        <w:numPr>
          <w:ilvl w:val="0"/>
          <w:numId w:val="1"/>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w:t>
      </w:r>
      <w:r>
        <w:rPr>
          <w:rFonts w:ascii="Calibri" w:eastAsia="Calibri" w:hAnsi="Calibri" w:cs="Calibri"/>
          <w:color w:val="000000"/>
          <w:sz w:val="24"/>
          <w:szCs w:val="24"/>
        </w:rPr>
        <w:t xml:space="preserve">t </w:t>
      </w:r>
      <w:r w:rsidRPr="0027695F">
        <w:rPr>
          <w:rFonts w:ascii="Calibri" w:eastAsia="Calibri" w:hAnsi="Calibri" w:cs="Calibri"/>
          <w:color w:val="000000"/>
          <w:sz w:val="24"/>
          <w:szCs w:val="24"/>
        </w:rPr>
        <w:t>and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w:t>
      </w:r>
    </w:p>
    <w:p w:rsidR="00E07E24" w:rsidRPr="0027695F" w:rsidRDefault="00E07E24" w:rsidP="00E07E24">
      <w:pPr>
        <w:autoSpaceDE w:val="0"/>
        <w:autoSpaceDN w:val="0"/>
        <w:adjustRightInd w:val="0"/>
        <w:spacing w:after="0" w:line="240" w:lineRule="auto"/>
        <w:ind w:left="360"/>
        <w:rPr>
          <w:rFonts w:ascii="Calibri" w:eastAsia="Calibri" w:hAnsi="Calibri" w:cs="Calibri"/>
          <w:color w:val="000000"/>
          <w:sz w:val="24"/>
          <w:szCs w:val="24"/>
        </w:rPr>
      </w:pPr>
    </w:p>
    <w:p w:rsidR="00E07E24" w:rsidRPr="0027695F" w:rsidRDefault="00E07E24" w:rsidP="00E07E24">
      <w:pPr>
        <w:numPr>
          <w:ilvl w:val="0"/>
          <w:numId w:val="1"/>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w:t>
      </w:r>
    </w:p>
    <w:p w:rsidR="00E07E24" w:rsidRPr="0027695F" w:rsidRDefault="00E07E24" w:rsidP="00E07E24">
      <w:pPr>
        <w:autoSpaceDE w:val="0"/>
        <w:autoSpaceDN w:val="0"/>
        <w:adjustRightInd w:val="0"/>
        <w:spacing w:after="0" w:line="240" w:lineRule="auto"/>
        <w:ind w:left="284" w:hanging="284"/>
        <w:rPr>
          <w:rFonts w:ascii="Calibri" w:eastAsia="Calibri" w:hAnsi="Calibri" w:cs="Calibri"/>
          <w:color w:val="000000"/>
          <w:sz w:val="24"/>
          <w:szCs w:val="24"/>
        </w:rPr>
      </w:pPr>
    </w:p>
    <w:p w:rsidR="00E07E24" w:rsidRPr="0027695F" w:rsidRDefault="00E07E24" w:rsidP="00E07E24">
      <w:pPr>
        <w:numPr>
          <w:ilvl w:val="0"/>
          <w:numId w:val="1"/>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rsidR="00E07E24" w:rsidRPr="0027695F" w:rsidRDefault="00E07E24" w:rsidP="00E07E24">
      <w:pPr>
        <w:ind w:left="284" w:hanging="284"/>
        <w:contextualSpacing/>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hanging="284"/>
        <w:rPr>
          <w:rFonts w:ascii="Calibri" w:eastAsia="Calibri" w:hAnsi="Calibri" w:cs="Calibri"/>
          <w:color w:val="000000"/>
          <w:sz w:val="24"/>
          <w:szCs w:val="24"/>
        </w:rPr>
      </w:pPr>
      <w:r w:rsidRPr="0027695F">
        <w:rPr>
          <w:rFonts w:ascii="Calibri" w:eastAsia="Calibri" w:hAnsi="Calibri" w:cs="Calibri"/>
          <w:color w:val="000000"/>
          <w:sz w:val="24"/>
          <w:szCs w:val="24"/>
        </w:rPr>
        <w:t>5. The following pre-employment checks will be required:</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receipt of satisfactory references*</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identity</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a satisfactory DBS disclosure if undertaking Regulated Activity</w:t>
      </w:r>
    </w:p>
    <w:p w:rsidR="00E07E24" w:rsidRDefault="00E07E24" w:rsidP="00E07E2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Default="00E07E24" w:rsidP="00E07E2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Default="00E07E24" w:rsidP="00E07E2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Default="00E07E24" w:rsidP="00E07E2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that you are not on the DBS Children’s barred list and therefore not barred from working with Children verification that you are not prohibited from teaching verification of medical fitness</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qualifications</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professional status where required e.g. QTS status</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production of evidence of the right to work in the UK</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of successful comp</w:t>
      </w:r>
      <w:bookmarkStart w:id="0" w:name="_GoBack"/>
      <w:bookmarkEnd w:id="0"/>
      <w:r w:rsidRPr="0027695F">
        <w:rPr>
          <w:rFonts w:ascii="Calibri" w:eastAsia="Calibri" w:hAnsi="Calibri" w:cs="Calibri"/>
          <w:color w:val="000000"/>
          <w:sz w:val="24"/>
          <w:szCs w:val="24"/>
        </w:rPr>
        <w:t>letion of/exemption from statutory induction period</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verification that you are not subject to any s128 directions preventing you from</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holding a management position within a school</w:t>
      </w:r>
    </w:p>
    <w:p w:rsidR="00E07E24" w:rsidRPr="0027695F" w:rsidRDefault="00E07E24" w:rsidP="00E07E24">
      <w:pPr>
        <w:numPr>
          <w:ilvl w:val="0"/>
          <w:numId w:val="3"/>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a declaration that you are not disqualified from working with children by virtue of the Childcare (Disqualification) Regulations 2009 or that you have provided a disqualification waiver from Ofsted</w:t>
      </w:r>
    </w:p>
    <w:p w:rsidR="00E07E24" w:rsidRPr="0027695F" w:rsidRDefault="00E07E24" w:rsidP="00E07E24">
      <w:pPr>
        <w:autoSpaceDE w:val="0"/>
        <w:autoSpaceDN w:val="0"/>
        <w:adjustRightInd w:val="0"/>
        <w:spacing w:after="0" w:line="240" w:lineRule="auto"/>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jc w:val="center"/>
        <w:rPr>
          <w:rFonts w:ascii="Calibri" w:eastAsia="Calibri" w:hAnsi="Calibri" w:cs="Calibri"/>
          <w:b/>
          <w:color w:val="000000"/>
          <w:sz w:val="24"/>
          <w:szCs w:val="24"/>
        </w:rPr>
      </w:pPr>
      <w:r w:rsidRPr="0027695F">
        <w:rPr>
          <w:rFonts w:ascii="Calibri" w:eastAsia="Calibri" w:hAnsi="Calibri" w:cs="Calibri"/>
          <w:b/>
          <w:color w:val="000000"/>
          <w:sz w:val="24"/>
          <w:szCs w:val="24"/>
        </w:rPr>
        <w:t>NB It is illegal for anyone who is barred from working with children to apply for, or undertake Regulated Activity.</w:t>
      </w:r>
    </w:p>
    <w:p w:rsidR="00E07E24" w:rsidRPr="0027695F" w:rsidRDefault="00E07E24" w:rsidP="00E07E24">
      <w:pPr>
        <w:autoSpaceDE w:val="0"/>
        <w:autoSpaceDN w:val="0"/>
        <w:adjustRightInd w:val="0"/>
        <w:spacing w:after="0" w:line="240" w:lineRule="auto"/>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rsidR="00E07E24" w:rsidRPr="0027695F" w:rsidRDefault="00E07E24" w:rsidP="00E07E24">
      <w:pPr>
        <w:autoSpaceDE w:val="0"/>
        <w:autoSpaceDN w:val="0"/>
        <w:adjustRightInd w:val="0"/>
        <w:spacing w:after="0" w:line="240" w:lineRule="auto"/>
        <w:rPr>
          <w:rFonts w:ascii="Calibri" w:eastAsia="Calibri" w:hAnsi="Calibri" w:cs="Calibri"/>
          <w:color w:val="000000"/>
          <w:sz w:val="24"/>
          <w:szCs w:val="24"/>
        </w:rPr>
      </w:pPr>
    </w:p>
    <w:p w:rsidR="00E07E24" w:rsidRPr="0027695F" w:rsidRDefault="00E07E24" w:rsidP="00E07E24">
      <w:pPr>
        <w:numPr>
          <w:ilvl w:val="0"/>
          <w:numId w:val="4"/>
        </w:numPr>
        <w:autoSpaceDE w:val="0"/>
        <w:autoSpaceDN w:val="0"/>
        <w:adjustRightInd w:val="0"/>
        <w:spacing w:after="0" w:line="240" w:lineRule="auto"/>
        <w:ind w:left="284" w:hanging="284"/>
        <w:contextualSpacing/>
        <w:rPr>
          <w:rFonts w:ascii="Calibri" w:eastAsia="Calibri" w:hAnsi="Calibri" w:cs="Calibri"/>
          <w:color w:val="000000"/>
          <w:sz w:val="24"/>
          <w:szCs w:val="24"/>
        </w:rPr>
      </w:pPr>
      <w:r w:rsidRPr="0027695F">
        <w:rPr>
          <w:rFonts w:ascii="Calibri" w:eastAsia="Calibri" w:hAnsi="Calibri" w:cs="Calibri"/>
          <w:color w:val="000000"/>
          <w:sz w:val="24"/>
          <w:szCs w:val="24"/>
        </w:rPr>
        <w:t xml:space="preserve">We will keep and maintain a single central record of recruitment and vetting checks, in line with the </w:t>
      </w:r>
      <w:proofErr w:type="spellStart"/>
      <w:r w:rsidRPr="0027695F">
        <w:rPr>
          <w:rFonts w:ascii="Calibri" w:eastAsia="Calibri" w:hAnsi="Calibri" w:cs="Calibri"/>
          <w:color w:val="000000"/>
          <w:sz w:val="24"/>
          <w:szCs w:val="24"/>
        </w:rPr>
        <w:t>DfE</w:t>
      </w:r>
      <w:proofErr w:type="spellEnd"/>
      <w:r w:rsidRPr="0027695F">
        <w:rPr>
          <w:rFonts w:ascii="Calibri" w:eastAsia="Calibri" w:hAnsi="Calibri" w:cs="Calibri"/>
          <w:color w:val="000000"/>
          <w:sz w:val="24"/>
          <w:szCs w:val="24"/>
        </w:rPr>
        <w:t xml:space="preserve"> requirements.</w:t>
      </w:r>
    </w:p>
    <w:p w:rsidR="00E07E24" w:rsidRPr="0027695F" w:rsidRDefault="00E07E24" w:rsidP="00E07E24">
      <w:pPr>
        <w:autoSpaceDE w:val="0"/>
        <w:autoSpaceDN w:val="0"/>
        <w:adjustRightInd w:val="0"/>
        <w:spacing w:after="0" w:line="240" w:lineRule="auto"/>
        <w:ind w:left="360"/>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hanging="284"/>
        <w:rPr>
          <w:rFonts w:ascii="Calibri" w:eastAsia="Calibri" w:hAnsi="Calibri" w:cs="Calibri"/>
          <w:color w:val="000000"/>
          <w:sz w:val="24"/>
          <w:szCs w:val="24"/>
        </w:rPr>
      </w:pPr>
      <w:r w:rsidRPr="0027695F">
        <w:rPr>
          <w:rFonts w:ascii="Calibri" w:eastAsia="Calibri" w:hAnsi="Calibri" w:cs="Calibri"/>
          <w:color w:val="000000"/>
          <w:sz w:val="24"/>
          <w:szCs w:val="24"/>
        </w:rPr>
        <w:t>7. 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w:t>
      </w:r>
    </w:p>
    <w:p w:rsidR="00E07E24" w:rsidRPr="0027695F" w:rsidRDefault="00E07E24" w:rsidP="00E07E24">
      <w:pPr>
        <w:autoSpaceDE w:val="0"/>
        <w:autoSpaceDN w:val="0"/>
        <w:adjustRightInd w:val="0"/>
        <w:spacing w:after="0" w:line="240" w:lineRule="auto"/>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Applicants will be required to sign a DBS consent form giving consent for the DBS</w:t>
      </w: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Certificate to be copied and shared (within strict guidelines) for the purposes of considering suitability for employment and consent for an online status check to be carried out in the event that the applicant subscribes to the DBS update service</w:t>
      </w: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 xml:space="preserve">The Trust Board is committed to 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2009 where certain convictions, cautions or warnings will mean an individual is disqualified from working in that setting and will prohibit employment at the school (unless a waiver can be obtained from Ofsted). </w:t>
      </w: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Positive disclosures will be managed on a case by case basis taking into account the nature, seriousness and relevance to the role. The following factors will be considered in each case:</w:t>
      </w:r>
    </w:p>
    <w:p w:rsidR="00E07E24" w:rsidRPr="0027695F" w:rsidRDefault="00E07E24" w:rsidP="00E07E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Pr="0027695F" w:rsidRDefault="00E07E24" w:rsidP="00E07E24">
      <w:pPr>
        <w:numPr>
          <w:ilvl w:val="0"/>
          <w:numId w:val="5"/>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seriousness/level of the disclosed information e.g. was it a caution or a conviction.</w:t>
      </w:r>
    </w:p>
    <w:p w:rsidR="00E07E24" w:rsidRPr="0027695F" w:rsidRDefault="00E07E24" w:rsidP="00E07E24">
      <w:pPr>
        <w:numPr>
          <w:ilvl w:val="0"/>
          <w:numId w:val="5"/>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How long ago did the incident(s) occur?</w:t>
      </w:r>
    </w:p>
    <w:p w:rsidR="00E07E24" w:rsidRPr="0027695F" w:rsidRDefault="00E07E24" w:rsidP="00E07E24">
      <w:pPr>
        <w:numPr>
          <w:ilvl w:val="0"/>
          <w:numId w:val="5"/>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Whether it was a one-off incident or part of a repeat history/pattern.</w:t>
      </w:r>
    </w:p>
    <w:p w:rsidR="00E07E24" w:rsidRPr="0027695F" w:rsidRDefault="00E07E24" w:rsidP="00E07E24">
      <w:pPr>
        <w:numPr>
          <w:ilvl w:val="0"/>
          <w:numId w:val="5"/>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circumstances of the offence(s) being committed and any changes in the applicant’s personal circumstances since then.</w:t>
      </w:r>
    </w:p>
    <w:p w:rsidR="00E07E24" w:rsidRPr="0027695F" w:rsidRDefault="00E07E24" w:rsidP="00E07E24">
      <w:pPr>
        <w:numPr>
          <w:ilvl w:val="0"/>
          <w:numId w:val="5"/>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The country where the offence/caution occurred.</w:t>
      </w:r>
    </w:p>
    <w:p w:rsidR="00E07E24" w:rsidRPr="0027695F" w:rsidRDefault="00E07E24" w:rsidP="00E07E24">
      <w:pPr>
        <w:numPr>
          <w:ilvl w:val="0"/>
          <w:numId w:val="5"/>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Whether the individual shows or has shown genuine remorse.</w:t>
      </w:r>
    </w:p>
    <w:p w:rsidR="00E07E24" w:rsidRPr="0027695F" w:rsidRDefault="00E07E24" w:rsidP="00E07E24">
      <w:pPr>
        <w:numPr>
          <w:ilvl w:val="0"/>
          <w:numId w:val="5"/>
        </w:numPr>
        <w:autoSpaceDE w:val="0"/>
        <w:autoSpaceDN w:val="0"/>
        <w:adjustRightInd w:val="0"/>
        <w:spacing w:after="0" w:line="240" w:lineRule="auto"/>
        <w:contextualSpacing/>
        <w:rPr>
          <w:rFonts w:ascii="Calibri" w:eastAsia="Calibri" w:hAnsi="Calibri" w:cs="Calibri"/>
          <w:color w:val="000000"/>
          <w:sz w:val="24"/>
          <w:szCs w:val="24"/>
        </w:rPr>
      </w:pPr>
      <w:r w:rsidRPr="0027695F">
        <w:rPr>
          <w:rFonts w:ascii="Calibri" w:eastAsia="Calibri" w:hAnsi="Calibri" w:cs="Calibri"/>
          <w:color w:val="000000"/>
          <w:sz w:val="24"/>
          <w:szCs w:val="24"/>
        </w:rPr>
        <w:t>If the offences were self-disclosed on the SD2 form or not (non-disclosure could, in itself, result in non-confirmation of employment on the grounds of trust, honesty and openness).</w:t>
      </w:r>
    </w:p>
    <w:p w:rsidR="00E07E24" w:rsidRPr="0027695F" w:rsidRDefault="00E07E24" w:rsidP="00E07E24">
      <w:pPr>
        <w:autoSpaceDE w:val="0"/>
        <w:autoSpaceDN w:val="0"/>
        <w:adjustRightInd w:val="0"/>
        <w:spacing w:after="0" w:line="240" w:lineRule="auto"/>
        <w:rPr>
          <w:rFonts w:ascii="Calibri" w:eastAsia="Calibri" w:hAnsi="Calibri" w:cs="Calibri"/>
          <w:b/>
          <w:bCs/>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When making a recruitment decision The Trust Board will disregard any filtered convictions/cautions/reprimands which were disclosed in error.</w:t>
      </w: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A previously issued Disclosure and Barring Service Certificate will only be accepted in certain restricted circumstances or where you subscribe to the DBS update service and the appropriate checks have been satisfactory.</w:t>
      </w: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p>
    <w:p w:rsidR="00E07E24" w:rsidRPr="0027695F" w:rsidRDefault="00E07E24" w:rsidP="00E07E24">
      <w:pPr>
        <w:autoSpaceDE w:val="0"/>
        <w:autoSpaceDN w:val="0"/>
        <w:adjustRightInd w:val="0"/>
        <w:spacing w:after="0" w:line="240" w:lineRule="auto"/>
        <w:ind w:left="284"/>
        <w:rPr>
          <w:rFonts w:ascii="Calibri" w:eastAsia="Calibri" w:hAnsi="Calibri" w:cs="Calibri"/>
          <w:color w:val="000000"/>
          <w:sz w:val="24"/>
          <w:szCs w:val="24"/>
        </w:rPr>
      </w:pPr>
      <w:r w:rsidRPr="0027695F">
        <w:rPr>
          <w:rFonts w:ascii="Calibri" w:eastAsia="Calibri" w:hAnsi="Calibri" w:cs="Calibri"/>
          <w:color w:val="000000"/>
          <w:sz w:val="24"/>
          <w:szCs w:val="24"/>
        </w:rPr>
        <w:t>The Disclosure and Barring Service has published a Code of Practice and accompanying explanatory guide. This Governing Body is committed to ensuring that it meets the requirements of the Disclosure and Barring Service in relation to the processing, handling and security of Disclosure information.</w:t>
      </w:r>
    </w:p>
    <w:p w:rsidR="00E07E24" w:rsidRPr="0027695F" w:rsidRDefault="00E07E24" w:rsidP="00E07E24">
      <w:pPr>
        <w:ind w:left="284"/>
        <w:rPr>
          <w:rFonts w:ascii="Calibri" w:eastAsia="Calibri" w:hAnsi="Calibri" w:cs="Calibri"/>
          <w:color w:val="000000"/>
          <w:sz w:val="24"/>
          <w:szCs w:val="24"/>
        </w:rPr>
      </w:pPr>
    </w:p>
    <w:p w:rsidR="00E07E24" w:rsidRPr="0027695F" w:rsidRDefault="00E07E24" w:rsidP="00E07E24">
      <w:pPr>
        <w:ind w:left="284"/>
        <w:rPr>
          <w:rFonts w:ascii="Calibri" w:eastAsia="Calibri" w:hAnsi="Calibri" w:cs="Calibri"/>
          <w:sz w:val="24"/>
          <w:szCs w:val="24"/>
        </w:rPr>
      </w:pPr>
      <w:r w:rsidRPr="0027695F">
        <w:rPr>
          <w:rFonts w:ascii="Calibri" w:eastAsia="Calibri" w:hAnsi="Calibri" w:cs="Calibri"/>
          <w:color w:val="000000"/>
          <w:sz w:val="24"/>
          <w:szCs w:val="24"/>
        </w:rPr>
        <w:t>A copy of our Recruitment Procedure is available upon request.</w:t>
      </w:r>
    </w:p>
    <w:p w:rsidR="00E07E24" w:rsidRPr="0027695F" w:rsidRDefault="00E07E24" w:rsidP="00E07E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Pr="0027695F" w:rsidRDefault="00E07E24" w:rsidP="00E07E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Pr="0027695F" w:rsidRDefault="00E07E24" w:rsidP="00E07E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Pr="0027695F" w:rsidRDefault="00E07E24" w:rsidP="00E07E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E24" w:rsidRPr="0027695F" w:rsidRDefault="00E07E24" w:rsidP="00E07E2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1728D" w:rsidRDefault="00E07E24"/>
    <w:sectPr w:rsidR="0041728D" w:rsidSect="00E07E24">
      <w:headerReference w:type="default" r:id="rId7"/>
      <w:pgSz w:w="11906" w:h="16838"/>
      <w:pgMar w:top="1440" w:right="1440" w:bottom="1440" w:left="1440" w:header="708" w:footer="708" w:gutter="0"/>
      <w:pgBorders w:offsetFrom="page">
        <w:top w:val="single" w:sz="48" w:space="24" w:color="538135" w:themeColor="accent6" w:themeShade="BF"/>
        <w:left w:val="single" w:sz="48" w:space="24" w:color="538135" w:themeColor="accent6" w:themeShade="BF"/>
        <w:bottom w:val="single" w:sz="48" w:space="24" w:color="538135" w:themeColor="accent6" w:themeShade="BF"/>
        <w:right w:val="single" w:sz="4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24" w:rsidRDefault="00E07E24" w:rsidP="00E07E24">
      <w:pPr>
        <w:spacing w:after="0" w:line="240" w:lineRule="auto"/>
      </w:pPr>
      <w:r>
        <w:separator/>
      </w:r>
    </w:p>
  </w:endnote>
  <w:endnote w:type="continuationSeparator" w:id="0">
    <w:p w:rsidR="00E07E24" w:rsidRDefault="00E07E24" w:rsidP="00E0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24" w:rsidRDefault="00E07E24" w:rsidP="00E07E24">
      <w:pPr>
        <w:spacing w:after="0" w:line="240" w:lineRule="auto"/>
      </w:pPr>
      <w:r>
        <w:separator/>
      </w:r>
    </w:p>
  </w:footnote>
  <w:footnote w:type="continuationSeparator" w:id="0">
    <w:p w:rsidR="00E07E24" w:rsidRDefault="00E07E24" w:rsidP="00E07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AA" w:rsidRDefault="00E07E24">
    <w:pPr>
      <w:pStyle w:val="Header"/>
    </w:pPr>
    <w:r>
      <w:rPr>
        <w:noProof/>
        <w:lang w:eastAsia="en-GB"/>
      </w:rPr>
      <w:drawing>
        <wp:anchor distT="0" distB="0" distL="114300" distR="114300" simplePos="0" relativeHeight="251660288" behindDoc="1" locked="0" layoutInCell="1" allowOverlap="1" wp14:anchorId="5A7105D3" wp14:editId="3CF94539">
          <wp:simplePos x="0" y="0"/>
          <wp:positionH relativeFrom="margin">
            <wp:posOffset>5479415</wp:posOffset>
          </wp:positionH>
          <wp:positionV relativeFrom="paragraph">
            <wp:posOffset>70485</wp:posOffset>
          </wp:positionV>
          <wp:extent cx="580390" cy="580390"/>
          <wp:effectExtent l="0" t="0" r="0" b="0"/>
          <wp:wrapTight wrapText="bothSides">
            <wp:wrapPolygon edited="0">
              <wp:start x="0" y="0"/>
              <wp:lineTo x="0" y="20560"/>
              <wp:lineTo x="20560" y="20560"/>
              <wp:lineTo x="20560" y="0"/>
              <wp:lineTo x="0" y="0"/>
            </wp:wrapPolygon>
          </wp:wrapTight>
          <wp:docPr id="9" name="Picture 9" descr="https://www.vineschoolstrust.co.uk/wp-content/uploads/2020/02/southminster-logo-V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neschoolstrust.co.uk/wp-content/uploads/2020/02/southminster-logo-V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5D98"/>
    <w:multiLevelType w:val="hybridMultilevel"/>
    <w:tmpl w:val="B7D2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F3485"/>
    <w:multiLevelType w:val="hybridMultilevel"/>
    <w:tmpl w:val="2CD8E5A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503FAB"/>
    <w:multiLevelType w:val="hybridMultilevel"/>
    <w:tmpl w:val="62B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C12F9"/>
    <w:multiLevelType w:val="hybridMultilevel"/>
    <w:tmpl w:val="0714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B4438"/>
    <w:multiLevelType w:val="hybridMultilevel"/>
    <w:tmpl w:val="F1A28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24"/>
    <w:rsid w:val="001D7313"/>
    <w:rsid w:val="00725CF3"/>
    <w:rsid w:val="00E0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5E5C3-B7CC-4938-918A-9696AEF6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E24"/>
  </w:style>
  <w:style w:type="paragraph" w:styleId="Footer">
    <w:name w:val="footer"/>
    <w:basedOn w:val="Normal"/>
    <w:link w:val="FooterChar"/>
    <w:uiPriority w:val="99"/>
    <w:unhideWhenUsed/>
    <w:rsid w:val="00E07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Griffiths</dc:creator>
  <cp:keywords/>
  <dc:description/>
  <cp:lastModifiedBy>Emma Griffiths</cp:lastModifiedBy>
  <cp:revision>1</cp:revision>
  <dcterms:created xsi:type="dcterms:W3CDTF">2021-03-09T16:36:00Z</dcterms:created>
  <dcterms:modified xsi:type="dcterms:W3CDTF">2021-03-09T16:38:00Z</dcterms:modified>
</cp:coreProperties>
</file>