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38B" w:rsidRDefault="005B338B"/>
    <w:tbl>
      <w:tblPr>
        <w:tblW w:w="106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77"/>
        <w:gridCol w:w="3423"/>
        <w:gridCol w:w="6840"/>
        <w:gridCol w:w="180"/>
      </w:tblGrid>
      <w:tr w:rsidR="005B338B" w:rsidTr="005B0F6B">
        <w:trPr>
          <w:cantSplit/>
          <w:trHeight w:val="850"/>
        </w:trPr>
        <w:tc>
          <w:tcPr>
            <w:tcW w:w="106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B338B" w:rsidRDefault="005B338B" w:rsidP="005B0F6B">
            <w:pPr>
              <w:pStyle w:val="Heading6"/>
            </w:pPr>
            <w:r>
              <w:rPr>
                <w:noProof/>
                <w:lang w:val="en-GB" w:eastAsia="en-GB"/>
              </w:rPr>
              <w:drawing>
                <wp:inline distT="0" distB="0" distL="0" distR="0">
                  <wp:extent cx="517334" cy="466724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lour Logo small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7334" cy="46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B338B" w:rsidRPr="005B338B" w:rsidRDefault="005B338B" w:rsidP="005B338B">
            <w:pPr>
              <w:pStyle w:val="Heading6"/>
            </w:pPr>
            <w:r w:rsidRPr="005B338B">
              <w:t>UNDERHILL SCHOOL AND CHILDREN’S CENTRE</w:t>
            </w:r>
          </w:p>
          <w:p w:rsidR="005B338B" w:rsidRPr="005B338B" w:rsidRDefault="005B338B" w:rsidP="005B338B"/>
        </w:tc>
      </w:tr>
      <w:tr w:rsidR="005B338B" w:rsidRPr="00DF1513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235"/>
        </w:trPr>
        <w:tc>
          <w:tcPr>
            <w:tcW w:w="10263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B338B" w:rsidRPr="005B338B" w:rsidRDefault="005B338B" w:rsidP="005B0F6B">
            <w:pPr>
              <w:pStyle w:val="Heading5"/>
              <w:autoSpaceDE/>
              <w:autoSpaceDN/>
              <w:adjustRightInd/>
              <w:spacing w:before="120" w:after="60"/>
            </w:pPr>
            <w:r w:rsidRPr="005B338B">
              <w:t>Employment details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4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Job </w:t>
            </w:r>
            <w:r>
              <w:rPr>
                <w:rFonts w:cs="Arial"/>
                <w:bCs/>
                <w:sz w:val="22"/>
                <w:szCs w:val="18"/>
              </w:rPr>
              <w:t>t</w:t>
            </w:r>
            <w:r w:rsidRPr="00DF1513">
              <w:rPr>
                <w:rFonts w:cs="Arial"/>
                <w:bCs/>
                <w:sz w:val="22"/>
                <w:szCs w:val="18"/>
              </w:rPr>
              <w:t>itle: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Classroom teacher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bCs/>
                <w:sz w:val="22"/>
              </w:rPr>
            </w:pPr>
            <w:r w:rsidRPr="00DF1513">
              <w:rPr>
                <w:bCs/>
                <w:sz w:val="22"/>
              </w:rPr>
              <w:t>Reports to: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72657D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Governing Body, </w:t>
            </w:r>
            <w:r w:rsidR="00AD138B">
              <w:rPr>
                <w:rFonts w:cs="Arial"/>
                <w:bCs/>
                <w:sz w:val="22"/>
                <w:szCs w:val="18"/>
              </w:rPr>
              <w:t>Acting</w:t>
            </w:r>
            <w:r>
              <w:rPr>
                <w:rFonts w:cs="Arial"/>
                <w:bCs/>
                <w:sz w:val="22"/>
                <w:szCs w:val="18"/>
              </w:rPr>
              <w:t xml:space="preserve"> Headteacher</w:t>
            </w:r>
            <w:r w:rsidR="00AD138B">
              <w:rPr>
                <w:rFonts w:cs="Arial"/>
                <w:bCs/>
                <w:sz w:val="22"/>
                <w:szCs w:val="18"/>
              </w:rPr>
              <w:t>s</w:t>
            </w:r>
            <w:bookmarkStart w:id="0" w:name="_GoBack"/>
            <w:bookmarkEnd w:id="0"/>
            <w:r>
              <w:rPr>
                <w:rFonts w:cs="Arial"/>
                <w:bCs/>
                <w:sz w:val="22"/>
                <w:szCs w:val="18"/>
              </w:rPr>
              <w:t>, Members of the Senior Leadership Team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bCs/>
                <w:sz w:val="22"/>
              </w:rPr>
            </w:pPr>
            <w:r w:rsidRPr="00DF1513">
              <w:rPr>
                <w:bCs/>
                <w:sz w:val="22"/>
              </w:rPr>
              <w:t>Type of position: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717971" w:rsidP="005B0F6B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Full</w:t>
            </w:r>
            <w:r w:rsidR="005B338B">
              <w:rPr>
                <w:rFonts w:cs="Arial"/>
                <w:bCs/>
                <w:sz w:val="22"/>
                <w:szCs w:val="18"/>
              </w:rPr>
              <w:t xml:space="preserve"> time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tabs>
                <w:tab w:val="left" w:pos="-1440"/>
                <w:tab w:val="left" w:pos="-720"/>
                <w:tab w:val="left" w:pos="0"/>
                <w:tab w:val="left" w:pos="3060"/>
                <w:tab w:val="left" w:pos="4320"/>
              </w:tabs>
              <w:suppressAutoHyphens/>
              <w:ind w:left="3060" w:hanging="30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bCs/>
                <w:sz w:val="22"/>
              </w:rPr>
              <w:t>Hours of work: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717971" w:rsidP="005B0F6B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27</w:t>
            </w:r>
            <w:r w:rsidR="0072657D">
              <w:rPr>
                <w:rFonts w:cs="Arial"/>
                <w:bCs/>
                <w:sz w:val="22"/>
                <w:szCs w:val="18"/>
              </w:rPr>
              <w:t>.5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bCs/>
                <w:sz w:val="22"/>
              </w:rPr>
              <w:t>Grade: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MPR</w:t>
            </w:r>
            <w:r w:rsidR="0072657D">
              <w:rPr>
                <w:rFonts w:cs="Arial"/>
                <w:bCs/>
                <w:sz w:val="22"/>
                <w:szCs w:val="18"/>
              </w:rPr>
              <w:t>/UPR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1411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bCs/>
                <w:sz w:val="22"/>
              </w:rPr>
              <w:t>Job purpose: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</w:t>
            </w:r>
          </w:p>
          <w:p w:rsidR="005B338B" w:rsidRPr="00DF1513" w:rsidRDefault="005B338B" w:rsidP="006825D5">
            <w:pPr>
              <w:spacing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The classroom teacher will be responsible for delivering learning in accordance with the curriculum, national guidelines, and the school’s strategy. The</w:t>
            </w:r>
            <w:r>
              <w:rPr>
                <w:rFonts w:cs="Arial"/>
                <w:bCs/>
                <w:sz w:val="22"/>
                <w:szCs w:val="18"/>
              </w:rPr>
              <w:t xml:space="preserve"> successful candidate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must also carry out other duties that support pupil</w:t>
            </w:r>
            <w:r>
              <w:rPr>
                <w:rFonts w:cs="Arial"/>
                <w:bCs/>
                <w:sz w:val="22"/>
                <w:szCs w:val="18"/>
              </w:rPr>
              <w:t>s’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learning while operating in accordance with the school’s policies and procedures. The classroom teacher is responsible for teaching a cl</w:t>
            </w:r>
            <w:r>
              <w:rPr>
                <w:rFonts w:cs="Arial"/>
                <w:bCs/>
                <w:sz w:val="22"/>
                <w:szCs w:val="18"/>
              </w:rPr>
              <w:t>ass of approximately 30 children</w:t>
            </w:r>
            <w:r w:rsidR="006825D5">
              <w:rPr>
                <w:rFonts w:cs="Arial"/>
                <w:bCs/>
                <w:sz w:val="22"/>
                <w:szCs w:val="18"/>
              </w:rPr>
              <w:t>.</w:t>
            </w:r>
            <w:r>
              <w:rPr>
                <w:rFonts w:cs="Arial"/>
                <w:bCs/>
                <w:sz w:val="22"/>
                <w:szCs w:val="18"/>
              </w:rPr>
              <w:t xml:space="preserve">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454"/>
        </w:trPr>
        <w:tc>
          <w:tcPr>
            <w:tcW w:w="10263" w:type="dxa"/>
            <w:gridSpan w:val="2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B338B" w:rsidRPr="005B338B" w:rsidRDefault="005B338B" w:rsidP="005B0F6B">
            <w:pPr>
              <w:pStyle w:val="Heading5"/>
              <w:autoSpaceDE/>
              <w:autoSpaceDN/>
              <w:adjustRightInd/>
              <w:spacing w:before="120" w:after="60"/>
            </w:pPr>
            <w:r w:rsidRPr="005B338B">
              <w:t>Main duties and responsibilities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 xml:space="preserve">To undertake your duties, as required by the Teachers’ Standards.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committed to the ethos and success of the school.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keep up-to-date with, and remain knowledgeable of, the requirements of the national curriculum.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have regard for</w:t>
            </w:r>
            <w:r>
              <w:rPr>
                <w:rFonts w:cs="Arial"/>
                <w:bCs/>
                <w:sz w:val="22"/>
                <w:szCs w:val="18"/>
              </w:rPr>
              <w:t xml:space="preserve"> continuing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professional development </w:t>
            </w:r>
            <w:r>
              <w:rPr>
                <w:rFonts w:cs="Arial"/>
                <w:bCs/>
                <w:sz w:val="22"/>
                <w:szCs w:val="18"/>
              </w:rPr>
              <w:t xml:space="preserve">(CPD) </w:t>
            </w:r>
            <w:r w:rsidRPr="00DF1513">
              <w:rPr>
                <w:rFonts w:cs="Arial"/>
                <w:bCs/>
                <w:sz w:val="22"/>
                <w:szCs w:val="18"/>
              </w:rPr>
              <w:t>and contribute to the school’s process of self-evaluation and development.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familiar with the school’s systems, structures, policies and procedures.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effectively plan a varied, bala</w:t>
            </w:r>
            <w:r>
              <w:rPr>
                <w:rFonts w:cs="Arial"/>
                <w:bCs/>
                <w:sz w:val="22"/>
                <w:szCs w:val="18"/>
              </w:rPr>
              <w:t>nced and appropriate curriculum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which </w:t>
            </w:r>
            <w:r w:rsidRPr="00D14C47">
              <w:rPr>
                <w:rFonts w:cs="Arial"/>
                <w:bCs/>
                <w:sz w:val="22"/>
                <w:szCs w:val="18"/>
                <w:lang w:val="en-GB"/>
              </w:rPr>
              <w:t>emphasises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raising standards and achieving excellence.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adapt teaching styles to suit all learners and provide a supportive learning environment</w:t>
            </w:r>
            <w:r>
              <w:rPr>
                <w:rFonts w:cs="Arial"/>
                <w:bCs/>
                <w:sz w:val="22"/>
                <w:szCs w:val="18"/>
              </w:rPr>
              <w:t>.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>
              <w:rPr>
                <w:rFonts w:cs="Arial"/>
                <w:bCs/>
                <w:sz w:val="22"/>
                <w:szCs w:val="18"/>
              </w:rPr>
              <w:t>To differentiate resources and equipment so lessons may be accessed appropriately by all pupils.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work as part of a team to evaluate and develop pupils’ learning needs.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enforce the school’s </w:t>
            </w:r>
            <w:proofErr w:type="spellStart"/>
            <w:r w:rsidRPr="00DF1513">
              <w:rPr>
                <w:rFonts w:cs="Arial"/>
                <w:bCs/>
                <w:sz w:val="22"/>
                <w:szCs w:val="18"/>
              </w:rPr>
              <w:t>Behaviour</w:t>
            </w:r>
            <w:proofErr w:type="spellEnd"/>
            <w:r w:rsidRPr="00DF1513">
              <w:rPr>
                <w:rFonts w:cs="Arial"/>
                <w:bCs/>
                <w:sz w:val="22"/>
                <w:szCs w:val="18"/>
              </w:rPr>
              <w:t xml:space="preserve"> Policy through excellent classroom management.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encourage pupils to develop and use their creativity, initiative, independence and responsibilities.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familiar with the</w:t>
            </w:r>
            <w:r>
              <w:rPr>
                <w:rFonts w:cs="Arial"/>
                <w:bCs/>
                <w:sz w:val="22"/>
                <w:szCs w:val="18"/>
              </w:rPr>
              <w:t xml:space="preserve"> 0-25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S</w:t>
            </w:r>
            <w:r>
              <w:rPr>
                <w:rFonts w:cs="Arial"/>
                <w:bCs/>
                <w:sz w:val="22"/>
                <w:szCs w:val="18"/>
              </w:rPr>
              <w:t xml:space="preserve">pecial </w:t>
            </w:r>
            <w:r w:rsidRPr="00DF1513">
              <w:rPr>
                <w:rFonts w:cs="Arial"/>
                <w:bCs/>
                <w:sz w:val="22"/>
                <w:szCs w:val="18"/>
              </w:rPr>
              <w:t>E</w:t>
            </w:r>
            <w:r>
              <w:rPr>
                <w:rFonts w:cs="Arial"/>
                <w:bCs/>
                <w:sz w:val="22"/>
                <w:szCs w:val="18"/>
              </w:rPr>
              <w:t xml:space="preserve">ducational </w:t>
            </w:r>
            <w:r w:rsidRPr="00DF1513">
              <w:rPr>
                <w:rFonts w:cs="Arial"/>
                <w:bCs/>
                <w:sz w:val="22"/>
                <w:szCs w:val="18"/>
              </w:rPr>
              <w:t>N</w:t>
            </w:r>
            <w:r>
              <w:rPr>
                <w:rFonts w:cs="Arial"/>
                <w:bCs/>
                <w:sz w:val="22"/>
                <w:szCs w:val="18"/>
              </w:rPr>
              <w:t>eeds (SEND)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Code of Practice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support and plan for pupils accordingly.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self-evaluate your teaching in order to improve effectiveness.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be committed to the school’s target and monitoring system for pupil progress.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systematically assess and record pupils’ academic and social progress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use the results to inform lesson planning decisions.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spacing w:before="60" w:after="60"/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>To monitor both class work and homework, provide constructive feedback</w:t>
            </w:r>
            <w:r>
              <w:rPr>
                <w:rFonts w:cs="Arial"/>
                <w:bCs/>
                <w:sz w:val="22"/>
                <w:szCs w:val="18"/>
              </w:rPr>
              <w:t>,</w:t>
            </w:r>
            <w:r w:rsidRPr="00DF1513">
              <w:rPr>
                <w:rFonts w:cs="Arial"/>
                <w:bCs/>
                <w:sz w:val="22"/>
                <w:szCs w:val="18"/>
              </w:rPr>
              <w:t xml:space="preserve"> and set informed targets for pupil progress.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DF1513">
              <w:rPr>
                <w:rFonts w:cs="Arial"/>
                <w:bCs/>
                <w:sz w:val="22"/>
                <w:szCs w:val="18"/>
              </w:rPr>
              <w:t xml:space="preserve">To report on each individual pupil’s progress to the headteacher and parents as required. </w:t>
            </w:r>
          </w:p>
        </w:tc>
      </w:tr>
      <w:tr w:rsidR="005B338B" w:rsidTr="005B0F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177" w:type="dxa"/>
          <w:wAfter w:w="180" w:type="dxa"/>
          <w:cantSplit/>
          <w:trHeight w:val="350"/>
        </w:trPr>
        <w:tc>
          <w:tcPr>
            <w:tcW w:w="10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DF1513" w:rsidRDefault="005B338B" w:rsidP="005B0F6B">
            <w:pPr>
              <w:rPr>
                <w:rFonts w:cs="Arial"/>
                <w:bCs/>
                <w:sz w:val="22"/>
                <w:szCs w:val="18"/>
              </w:rPr>
            </w:pPr>
            <w:r w:rsidRPr="004A2762">
              <w:rPr>
                <w:rFonts w:cs="Arial"/>
                <w:bCs/>
                <w:sz w:val="22"/>
                <w:szCs w:val="18"/>
              </w:rPr>
              <w:t xml:space="preserve">To actively support school activities, on occasion, such as educational trips, extra-curricular activities and </w:t>
            </w:r>
            <w:r>
              <w:rPr>
                <w:rFonts w:cs="Arial"/>
                <w:bCs/>
                <w:sz w:val="22"/>
                <w:szCs w:val="18"/>
              </w:rPr>
              <w:t>clubs</w:t>
            </w:r>
            <w:r w:rsidRPr="004A2762">
              <w:rPr>
                <w:rFonts w:cs="Arial"/>
                <w:bCs/>
                <w:sz w:val="22"/>
                <w:szCs w:val="18"/>
              </w:rPr>
              <w:t>, and parents</w:t>
            </w:r>
            <w:r>
              <w:rPr>
                <w:rFonts w:cs="Arial"/>
                <w:bCs/>
                <w:sz w:val="22"/>
                <w:szCs w:val="18"/>
              </w:rPr>
              <w:t>’</w:t>
            </w:r>
            <w:r w:rsidRPr="004A2762">
              <w:rPr>
                <w:rFonts w:cs="Arial"/>
                <w:bCs/>
                <w:sz w:val="22"/>
                <w:szCs w:val="18"/>
              </w:rPr>
              <w:t xml:space="preserve"> evenings, which may require some o</w:t>
            </w:r>
            <w:r>
              <w:rPr>
                <w:rFonts w:cs="Arial"/>
                <w:bCs/>
                <w:sz w:val="22"/>
                <w:szCs w:val="18"/>
              </w:rPr>
              <w:t>ut-</w:t>
            </w:r>
            <w:r w:rsidRPr="004A2762">
              <w:rPr>
                <w:rFonts w:cs="Arial"/>
                <w:bCs/>
                <w:sz w:val="22"/>
                <w:szCs w:val="18"/>
              </w:rPr>
              <w:t>of</w:t>
            </w:r>
            <w:r>
              <w:rPr>
                <w:rFonts w:cs="Arial"/>
                <w:bCs/>
                <w:sz w:val="22"/>
                <w:szCs w:val="18"/>
              </w:rPr>
              <w:t>-</w:t>
            </w:r>
            <w:r w:rsidRPr="004A2762">
              <w:rPr>
                <w:rFonts w:cs="Arial"/>
                <w:bCs/>
                <w:sz w:val="22"/>
                <w:szCs w:val="18"/>
              </w:rPr>
              <w:t>hours availability.</w:t>
            </w:r>
          </w:p>
        </w:tc>
      </w:tr>
    </w:tbl>
    <w:p w:rsidR="005B338B" w:rsidRDefault="005B338B" w:rsidP="005B338B"/>
    <w:p w:rsidR="005B338B" w:rsidRPr="0099671F" w:rsidRDefault="005B338B" w:rsidP="005B338B">
      <w:pPr>
        <w:ind w:right="515"/>
        <w:rPr>
          <w:szCs w:val="20"/>
        </w:rPr>
      </w:pPr>
      <w:r w:rsidRPr="0099671F">
        <w:rPr>
          <w:b/>
          <w:szCs w:val="20"/>
        </w:rPr>
        <w:t>Note:</w:t>
      </w:r>
      <w:r>
        <w:rPr>
          <w:szCs w:val="20"/>
        </w:rPr>
        <w:t xml:space="preserve"> </w:t>
      </w:r>
      <w:r w:rsidRPr="0099671F">
        <w:rPr>
          <w:szCs w:val="20"/>
        </w:rPr>
        <w:t>This</w:t>
      </w:r>
      <w:r>
        <w:rPr>
          <w:szCs w:val="20"/>
        </w:rPr>
        <w:t xml:space="preserve"> job description is not exhaustive and will be subject to periodic review. It may be amended to meet the changing needs of the school. The post-holder will be expected to participate in this process and we would aim to reach agreement on any changes.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"/>
        <w:gridCol w:w="834"/>
        <w:gridCol w:w="1713"/>
        <w:gridCol w:w="546"/>
        <w:gridCol w:w="1456"/>
        <w:gridCol w:w="457"/>
        <w:gridCol w:w="1727"/>
        <w:gridCol w:w="909"/>
        <w:gridCol w:w="1637"/>
      </w:tblGrid>
      <w:tr w:rsidR="005B338B" w:rsidRPr="00AB0885" w:rsidTr="005B0F6B">
        <w:trPr>
          <w:trHeight w:val="454"/>
          <w:tblHeader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B338B" w:rsidRDefault="005B338B" w:rsidP="005B0F6B">
            <w:pPr>
              <w:keepNext/>
              <w:spacing w:after="60"/>
              <w:outlineLvl w:val="4"/>
              <w:rPr>
                <w:rFonts w:cs="Arial"/>
                <w:b/>
                <w:sz w:val="28"/>
              </w:rPr>
            </w:pPr>
          </w:p>
          <w:p w:rsidR="005B338B" w:rsidRDefault="005B338B" w:rsidP="005B0F6B">
            <w:pPr>
              <w:keepNext/>
              <w:spacing w:after="60"/>
              <w:outlineLvl w:val="4"/>
              <w:rPr>
                <w:rFonts w:cs="Arial"/>
                <w:b/>
                <w:sz w:val="28"/>
              </w:rPr>
            </w:pPr>
          </w:p>
          <w:p w:rsidR="005B338B" w:rsidRPr="005B338B" w:rsidRDefault="005B338B" w:rsidP="005B0F6B">
            <w:pPr>
              <w:keepNext/>
              <w:spacing w:after="60"/>
              <w:outlineLvl w:val="4"/>
              <w:rPr>
                <w:rFonts w:cs="Arial"/>
                <w:b/>
                <w:sz w:val="24"/>
              </w:rPr>
            </w:pPr>
            <w:r w:rsidRPr="005B338B">
              <w:rPr>
                <w:rFonts w:cs="Arial"/>
                <w:b/>
                <w:sz w:val="24"/>
              </w:rPr>
              <w:t>Person specification</w:t>
            </w:r>
          </w:p>
        </w:tc>
      </w:tr>
      <w:tr w:rsidR="005B338B" w:rsidRPr="00AB0885" w:rsidTr="005B0F6B">
        <w:trPr>
          <w:trHeight w:val="350"/>
          <w:tblHeader/>
          <w:jc w:val="center"/>
        </w:trPr>
        <w:tc>
          <w:tcPr>
            <w:tcW w:w="858" w:type="pct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jc w:val="center"/>
              <w:rPr>
                <w:rFonts w:cs="Arial"/>
                <w:bCs/>
                <w:sz w:val="22"/>
              </w:rPr>
            </w:pPr>
          </w:p>
        </w:tc>
        <w:tc>
          <w:tcPr>
            <w:tcW w:w="204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jc w:val="center"/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>Essential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jc w:val="center"/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>Desirable</w:t>
            </w:r>
          </w:p>
        </w:tc>
      </w:tr>
      <w:tr w:rsidR="005B338B" w:rsidRPr="00AB0885" w:rsidTr="005B0F6B">
        <w:trPr>
          <w:trHeight w:val="495"/>
          <w:tblHeader/>
          <w:jc w:val="center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keepNext/>
              <w:outlineLvl w:val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Qualifications and</w:t>
            </w:r>
            <w:r w:rsidRPr="00AB0885"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bCs/>
                <w:sz w:val="22"/>
                <w:szCs w:val="22"/>
              </w:rPr>
              <w:t>e</w:t>
            </w:r>
            <w:r w:rsidRPr="00AB0885">
              <w:rPr>
                <w:rFonts w:cs="Arial"/>
                <w:b/>
                <w:bCs/>
                <w:sz w:val="22"/>
                <w:szCs w:val="22"/>
              </w:rPr>
              <w:t>xperience</w:t>
            </w:r>
          </w:p>
        </w:tc>
        <w:tc>
          <w:tcPr>
            <w:tcW w:w="2046" w:type="pct"/>
            <w:gridSpan w:val="4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Qualified teacher status </w:t>
            </w:r>
          </w:p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Degree level qualification</w:t>
            </w:r>
          </w:p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Willingness to </w:t>
            </w:r>
            <w:r>
              <w:rPr>
                <w:rFonts w:cs="Arial"/>
                <w:bCs/>
                <w:sz w:val="22"/>
                <w:szCs w:val="22"/>
              </w:rPr>
              <w:t>undertake CPD</w:t>
            </w:r>
          </w:p>
          <w:p w:rsidR="005B338B" w:rsidRPr="00AB0885" w:rsidRDefault="005B338B" w:rsidP="005B338B">
            <w:pPr>
              <w:numPr>
                <w:ilvl w:val="0"/>
                <w:numId w:val="2"/>
              </w:numPr>
              <w:spacing w:after="60"/>
              <w:ind w:left="714" w:hanging="357"/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Previous experience working </w:t>
            </w:r>
            <w:r>
              <w:rPr>
                <w:rFonts w:cs="Arial"/>
                <w:bCs/>
                <w:sz w:val="22"/>
                <w:szCs w:val="22"/>
              </w:rPr>
              <w:t>in a school</w:t>
            </w:r>
          </w:p>
        </w:tc>
        <w:tc>
          <w:tcPr>
            <w:tcW w:w="2096" w:type="pct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Relevant postgraduate professional qualification</w:t>
            </w:r>
          </w:p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Previous experience </w:t>
            </w:r>
            <w:r>
              <w:rPr>
                <w:rFonts w:cs="Arial"/>
                <w:bCs/>
                <w:sz w:val="22"/>
                <w:szCs w:val="22"/>
              </w:rPr>
              <w:t>teaching key stage 2</w:t>
            </w:r>
          </w:p>
          <w:p w:rsidR="005B338B" w:rsidRPr="00AB0885" w:rsidRDefault="005B338B" w:rsidP="005B338B">
            <w:pPr>
              <w:numPr>
                <w:ilvl w:val="0"/>
                <w:numId w:val="2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Previous experience working in partnership with parents </w:t>
            </w:r>
          </w:p>
        </w:tc>
      </w:tr>
      <w:tr w:rsidR="005B338B" w:rsidRPr="00AB0885" w:rsidTr="005B0F6B">
        <w:trPr>
          <w:trHeight w:val="495"/>
          <w:tblHeader/>
          <w:jc w:val="center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 xml:space="preserve">Knowledge </w:t>
            </w:r>
            <w:r>
              <w:rPr>
                <w:rFonts w:cs="Arial"/>
                <w:b/>
                <w:sz w:val="22"/>
                <w:szCs w:val="22"/>
              </w:rPr>
              <w:t>and</w:t>
            </w:r>
            <w:r w:rsidRPr="00AB0885">
              <w:rPr>
                <w:rFonts w:cs="Arial"/>
                <w:b/>
                <w:sz w:val="22"/>
                <w:szCs w:val="22"/>
              </w:rPr>
              <w:t xml:space="preserve"> </w:t>
            </w:r>
            <w:r>
              <w:rPr>
                <w:rFonts w:cs="Arial"/>
                <w:b/>
                <w:sz w:val="22"/>
                <w:szCs w:val="22"/>
              </w:rPr>
              <w:t>s</w:t>
            </w:r>
            <w:r w:rsidRPr="00AB0885">
              <w:rPr>
                <w:rFonts w:cs="Arial"/>
                <w:b/>
                <w:sz w:val="22"/>
                <w:szCs w:val="22"/>
              </w:rPr>
              <w:t>kills</w:t>
            </w:r>
          </w:p>
        </w:tc>
        <w:tc>
          <w:tcPr>
            <w:tcW w:w="204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Sound understanding of the </w:t>
            </w:r>
            <w:r>
              <w:rPr>
                <w:rFonts w:cs="Arial"/>
                <w:bCs/>
                <w:sz w:val="22"/>
                <w:szCs w:val="22"/>
              </w:rPr>
              <w:t>p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rimary </w:t>
            </w:r>
            <w:r>
              <w:rPr>
                <w:rFonts w:cs="Arial"/>
                <w:bCs/>
                <w:sz w:val="22"/>
                <w:szCs w:val="22"/>
              </w:rPr>
              <w:t>c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urriculum 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Excellent </w:t>
            </w:r>
            <w:r w:rsidRPr="00D609CF">
              <w:rPr>
                <w:rFonts w:cs="Arial"/>
                <w:bCs/>
                <w:sz w:val="22"/>
                <w:szCs w:val="22"/>
                <w:lang w:val="en-GB"/>
              </w:rPr>
              <w:t>behaviour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management skills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Excellent inter-personal skills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work as part of a team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Excellent planning and </w:t>
            </w:r>
            <w:proofErr w:type="spellStart"/>
            <w:r w:rsidRPr="00AB0885">
              <w:rPr>
                <w:rFonts w:cs="Arial"/>
                <w:bCs/>
                <w:sz w:val="22"/>
                <w:szCs w:val="22"/>
              </w:rPr>
              <w:t>organisational</w:t>
            </w:r>
            <w:proofErr w:type="spellEnd"/>
            <w:r w:rsidRPr="00AB0885">
              <w:rPr>
                <w:rFonts w:cs="Arial"/>
                <w:bCs/>
                <w:sz w:val="22"/>
                <w:szCs w:val="22"/>
              </w:rPr>
              <w:t xml:space="preserve"> skills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Effective oral and written communication skills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Knowledge </w:t>
            </w:r>
            <w:r>
              <w:rPr>
                <w:rFonts w:cs="Arial"/>
                <w:bCs/>
                <w:sz w:val="22"/>
                <w:szCs w:val="22"/>
              </w:rPr>
              <w:t>of key performance indicators and the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ability to use them to monitor progress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Awareness of the needs of children </w:t>
            </w:r>
            <w:r>
              <w:rPr>
                <w:rFonts w:cs="Arial"/>
                <w:bCs/>
                <w:sz w:val="22"/>
                <w:szCs w:val="22"/>
              </w:rPr>
              <w:t>who speak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English as an additional language or </w:t>
            </w:r>
            <w:r>
              <w:rPr>
                <w:rFonts w:cs="Arial"/>
                <w:bCs/>
                <w:sz w:val="22"/>
                <w:szCs w:val="22"/>
              </w:rPr>
              <w:t>have SEN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spacing w:after="60"/>
              <w:ind w:left="714" w:hanging="357"/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 u</w:t>
            </w:r>
            <w:r w:rsidRPr="00AB0885">
              <w:rPr>
                <w:rFonts w:cs="Arial"/>
                <w:bCs/>
                <w:sz w:val="22"/>
                <w:szCs w:val="22"/>
              </w:rPr>
              <w:t>nderstanding of how a pupil’s learning is affected by their intellectual, emotional and social development</w:t>
            </w:r>
            <w:r>
              <w:rPr>
                <w:rFonts w:cs="Arial"/>
                <w:bCs/>
                <w:sz w:val="22"/>
                <w:szCs w:val="22"/>
              </w:rPr>
              <w:t>,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and the stages of child development</w:t>
            </w:r>
          </w:p>
        </w:tc>
        <w:tc>
          <w:tcPr>
            <w:tcW w:w="20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Experience working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as part of a team 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First aid skills</w:t>
            </w:r>
          </w:p>
          <w:p w:rsidR="005B338B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An u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nderstanding of the importance of parental involvement </w:t>
            </w:r>
          </w:p>
          <w:p w:rsidR="005B338B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Experience</w:t>
            </w:r>
            <w:r w:rsidRPr="00391076">
              <w:rPr>
                <w:rFonts w:cs="Arial"/>
                <w:bCs/>
                <w:sz w:val="22"/>
                <w:szCs w:val="22"/>
              </w:rPr>
              <w:t xml:space="preserve"> working with children who have SEN and/or disabilities</w:t>
            </w:r>
          </w:p>
          <w:p w:rsidR="005B338B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 xml:space="preserve">Experience </w:t>
            </w:r>
            <w:r w:rsidRPr="00391076">
              <w:rPr>
                <w:rFonts w:cs="Arial"/>
                <w:bCs/>
                <w:sz w:val="22"/>
                <w:szCs w:val="22"/>
              </w:rPr>
              <w:t xml:space="preserve">working with children who have </w:t>
            </w:r>
            <w:proofErr w:type="spellStart"/>
            <w:r w:rsidRPr="00391076">
              <w:rPr>
                <w:rFonts w:cs="Arial"/>
                <w:bCs/>
                <w:sz w:val="22"/>
                <w:szCs w:val="22"/>
              </w:rPr>
              <w:t>behavioural</w:t>
            </w:r>
            <w:proofErr w:type="spellEnd"/>
            <w:r w:rsidRPr="00391076">
              <w:rPr>
                <w:rFonts w:cs="Arial"/>
                <w:bCs/>
                <w:sz w:val="22"/>
                <w:szCs w:val="22"/>
              </w:rPr>
              <w:t xml:space="preserve"> problems</w:t>
            </w:r>
          </w:p>
          <w:p w:rsidR="005B338B" w:rsidRPr="00AB0885" w:rsidRDefault="005B338B" w:rsidP="005B338B">
            <w:pPr>
              <w:numPr>
                <w:ilvl w:val="0"/>
                <w:numId w:val="1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Experience working with children who speak</w:t>
            </w:r>
            <w:r w:rsidRPr="002E00E2">
              <w:rPr>
                <w:rFonts w:cs="Arial"/>
                <w:bCs/>
                <w:sz w:val="22"/>
                <w:szCs w:val="22"/>
              </w:rPr>
              <w:t xml:space="preserve"> English as a</w:t>
            </w:r>
            <w:r>
              <w:rPr>
                <w:rFonts w:cs="Arial"/>
                <w:bCs/>
                <w:sz w:val="22"/>
                <w:szCs w:val="22"/>
              </w:rPr>
              <w:t>n additional language</w:t>
            </w:r>
          </w:p>
          <w:p w:rsidR="005B338B" w:rsidRPr="00AB0885" w:rsidRDefault="005B338B" w:rsidP="005B0F6B">
            <w:pPr>
              <w:ind w:left="720"/>
              <w:rPr>
                <w:rFonts w:cs="Arial"/>
                <w:bCs/>
                <w:sz w:val="22"/>
              </w:rPr>
            </w:pPr>
          </w:p>
        </w:tc>
      </w:tr>
      <w:tr w:rsidR="005B338B" w:rsidRPr="00AB0885" w:rsidTr="005B0F6B">
        <w:trPr>
          <w:trHeight w:val="495"/>
          <w:tblHeader/>
          <w:jc w:val="center"/>
        </w:trPr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keepNext/>
              <w:tabs>
                <w:tab w:val="left" w:pos="0"/>
                <w:tab w:val="left" w:pos="720"/>
              </w:tabs>
              <w:suppressAutoHyphens/>
              <w:outlineLvl w:val="3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  <w:szCs w:val="22"/>
              </w:rPr>
              <w:t>Personal q</w:t>
            </w:r>
            <w:r w:rsidRPr="00AB0885">
              <w:rPr>
                <w:rFonts w:cs="Arial"/>
                <w:b/>
                <w:sz w:val="22"/>
                <w:szCs w:val="22"/>
              </w:rPr>
              <w:t>ualities</w:t>
            </w:r>
          </w:p>
        </w:tc>
        <w:tc>
          <w:tcPr>
            <w:tcW w:w="2046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Committed to teaching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Supportive of </w:t>
            </w:r>
            <w:r>
              <w:rPr>
                <w:rFonts w:cs="Arial"/>
                <w:bCs/>
                <w:sz w:val="22"/>
                <w:szCs w:val="22"/>
              </w:rPr>
              <w:t xml:space="preserve">colleagues 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Good attendance and punctuality 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Good sense of </w:t>
            </w:r>
            <w:proofErr w:type="spellStart"/>
            <w:r w:rsidRPr="00AB0885">
              <w:rPr>
                <w:rFonts w:cs="Arial"/>
                <w:bCs/>
                <w:sz w:val="22"/>
                <w:szCs w:val="22"/>
              </w:rPr>
              <w:t>humour</w:t>
            </w:r>
            <w:proofErr w:type="spellEnd"/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Pro-active in the working environment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Enthusiastic and positive attitude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</w:t>
            </w:r>
            <w:r>
              <w:rPr>
                <w:rFonts w:cs="Arial"/>
                <w:bCs/>
                <w:sz w:val="22"/>
                <w:szCs w:val="22"/>
              </w:rPr>
              <w:t>lity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to accommodate changes in work priorities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Ability</w:t>
            </w:r>
            <w:r w:rsidRPr="00AB0885">
              <w:rPr>
                <w:rFonts w:cs="Arial"/>
                <w:bCs/>
                <w:sz w:val="22"/>
                <w:szCs w:val="22"/>
              </w:rPr>
              <w:t xml:space="preserve"> to anticipate workload and plan ahead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develop effective relationships with parents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spacing w:after="60"/>
              <w:ind w:left="714" w:hanging="357"/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encourage and enable others to reach their full potential</w:t>
            </w:r>
          </w:p>
        </w:tc>
        <w:tc>
          <w:tcPr>
            <w:tcW w:w="209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</w:tcMar>
          </w:tcPr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Self-confidence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Ability to relate well to other professionals</w:t>
            </w:r>
          </w:p>
          <w:p w:rsidR="005B338B" w:rsidRPr="00AB0885" w:rsidRDefault="005B338B" w:rsidP="005B338B">
            <w:pPr>
              <w:numPr>
                <w:ilvl w:val="0"/>
                <w:numId w:val="3"/>
              </w:num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A flexible approach</w:t>
            </w:r>
          </w:p>
        </w:tc>
      </w:tr>
      <w:tr w:rsidR="005B338B" w:rsidRPr="00AB0885" w:rsidTr="005B0F6B">
        <w:trPr>
          <w:trHeight w:val="454"/>
          <w:tblHeader/>
          <w:jc w:val="center"/>
        </w:trPr>
        <w:tc>
          <w:tcPr>
            <w:tcW w:w="5000" w:type="pct"/>
            <w:gridSpan w:val="9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bottom"/>
          </w:tcPr>
          <w:p w:rsidR="005B338B" w:rsidRPr="00AB0885" w:rsidRDefault="005B338B" w:rsidP="005B0F6B">
            <w:pPr>
              <w:keepNext/>
              <w:spacing w:after="60"/>
              <w:outlineLvl w:val="4"/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/>
                <w:sz w:val="22"/>
                <w:szCs w:val="22"/>
              </w:rPr>
              <w:t>Prepared by</w:t>
            </w:r>
          </w:p>
        </w:tc>
      </w:tr>
      <w:tr w:rsidR="005B338B" w:rsidRPr="00AB0885" w:rsidTr="005B0F6B">
        <w:trPr>
          <w:trHeight w:val="350"/>
          <w:tblHeader/>
          <w:jc w:val="center"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Name: </w:t>
            </w:r>
          </w:p>
        </w:tc>
        <w:tc>
          <w:tcPr>
            <w:tcW w:w="15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J Matthews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Signature: </w:t>
            </w:r>
          </w:p>
        </w:tc>
        <w:tc>
          <w:tcPr>
            <w:tcW w:w="10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>Date: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22602D" w:rsidP="005B0F6B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June 2017</w:t>
            </w:r>
          </w:p>
        </w:tc>
      </w:tr>
      <w:tr w:rsidR="005B338B" w:rsidRPr="00AB0885" w:rsidTr="005B0F6B">
        <w:trPr>
          <w:trHeight w:val="350"/>
          <w:tblHeader/>
          <w:jc w:val="center"/>
        </w:trPr>
        <w:tc>
          <w:tcPr>
            <w:tcW w:w="16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 w:rsidRPr="00AB0885">
              <w:rPr>
                <w:rFonts w:cs="Arial"/>
                <w:bCs/>
                <w:sz w:val="22"/>
                <w:szCs w:val="22"/>
              </w:rPr>
              <w:t xml:space="preserve">Title and/or </w:t>
            </w:r>
            <w:r>
              <w:rPr>
                <w:rFonts w:cs="Arial"/>
                <w:bCs/>
                <w:sz w:val="22"/>
                <w:szCs w:val="22"/>
              </w:rPr>
              <w:t>d</w:t>
            </w:r>
            <w:r w:rsidRPr="00AB0885">
              <w:rPr>
                <w:rFonts w:cs="Arial"/>
                <w:bCs/>
                <w:sz w:val="22"/>
                <w:szCs w:val="22"/>
              </w:rPr>
              <w:t>epartment:</w:t>
            </w:r>
          </w:p>
        </w:tc>
        <w:tc>
          <w:tcPr>
            <w:tcW w:w="33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38B" w:rsidRPr="00AB0885" w:rsidRDefault="005B338B" w:rsidP="005B0F6B">
            <w:pPr>
              <w:rPr>
                <w:rFonts w:cs="Arial"/>
                <w:bCs/>
                <w:sz w:val="22"/>
              </w:rPr>
            </w:pPr>
            <w:r>
              <w:rPr>
                <w:rFonts w:cs="Arial"/>
                <w:bCs/>
                <w:sz w:val="22"/>
                <w:szCs w:val="22"/>
              </w:rPr>
              <w:t>Head of School</w:t>
            </w:r>
          </w:p>
        </w:tc>
      </w:tr>
    </w:tbl>
    <w:p w:rsidR="00E63DB6" w:rsidRDefault="00E63DB6"/>
    <w:sectPr w:rsidR="00E63DB6" w:rsidSect="005B338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1819A5"/>
    <w:multiLevelType w:val="hybridMultilevel"/>
    <w:tmpl w:val="E6620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01549"/>
    <w:multiLevelType w:val="hybridMultilevel"/>
    <w:tmpl w:val="888E2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54EB6"/>
    <w:multiLevelType w:val="hybridMultilevel"/>
    <w:tmpl w:val="B4E66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38B"/>
    <w:rsid w:val="001A0857"/>
    <w:rsid w:val="0022602D"/>
    <w:rsid w:val="005B338B"/>
    <w:rsid w:val="006825D5"/>
    <w:rsid w:val="00717971"/>
    <w:rsid w:val="0072657D"/>
    <w:rsid w:val="00747F26"/>
    <w:rsid w:val="00AD138B"/>
    <w:rsid w:val="00E6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B32D1"/>
  <w15:docId w15:val="{B3A7D38C-0C50-4CAD-85C1-E26C0516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38B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Heading5">
    <w:name w:val="heading 5"/>
    <w:basedOn w:val="Normal"/>
    <w:next w:val="Normal"/>
    <w:link w:val="Heading5Char"/>
    <w:qFormat/>
    <w:rsid w:val="005B338B"/>
    <w:pPr>
      <w:keepNext/>
      <w:autoSpaceDE w:val="0"/>
      <w:autoSpaceDN w:val="0"/>
      <w:adjustRightInd w:val="0"/>
      <w:spacing w:before="60" w:after="120"/>
      <w:outlineLvl w:val="4"/>
    </w:pPr>
    <w:rPr>
      <w:rFonts w:cs="Arial"/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5B338B"/>
    <w:pPr>
      <w:keepNext/>
      <w:spacing w:before="60"/>
      <w:jc w:val="center"/>
      <w:outlineLvl w:val="5"/>
    </w:pPr>
    <w:rPr>
      <w:rFonts w:cs="Arial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5B338B"/>
    <w:rPr>
      <w:rFonts w:ascii="Arial" w:eastAsia="Times New Roman" w:hAnsi="Arial" w:cs="Arial"/>
      <w:b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rsid w:val="005B338B"/>
    <w:rPr>
      <w:rFonts w:ascii="Arial" w:eastAsia="Times New Roman" w:hAnsi="Arial" w:cs="Arial"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3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38B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9A80B7F8</Template>
  <TotalTime>0</TotalTime>
  <Pages>2</Pages>
  <Words>695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Symonds LTD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KRossington</dc:creator>
  <cp:lastModifiedBy>KRossington</cp:lastModifiedBy>
  <cp:revision>2</cp:revision>
  <cp:lastPrinted>2017-07-12T10:41:00Z</cp:lastPrinted>
  <dcterms:created xsi:type="dcterms:W3CDTF">2020-06-05T08:48:00Z</dcterms:created>
  <dcterms:modified xsi:type="dcterms:W3CDTF">2020-06-05T08:48:00Z</dcterms:modified>
</cp:coreProperties>
</file>