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0A" w:rsidRPr="000E5172" w:rsidRDefault="008B484D">
      <w:pPr>
        <w:rPr>
          <w:b/>
          <w:sz w:val="32"/>
          <w:szCs w:val="32"/>
        </w:rPr>
      </w:pPr>
      <w:r w:rsidRPr="000E5172">
        <w:rPr>
          <w:b/>
          <w:sz w:val="32"/>
          <w:szCs w:val="32"/>
        </w:rPr>
        <w:t>COLLEGE LEAD</w:t>
      </w:r>
    </w:p>
    <w:p w:rsidR="008B484D" w:rsidRPr="000E5172" w:rsidRDefault="008B484D">
      <w:pPr>
        <w:rPr>
          <w:b/>
          <w:sz w:val="32"/>
          <w:szCs w:val="32"/>
        </w:rPr>
      </w:pPr>
      <w:r w:rsidRPr="000E5172">
        <w:rPr>
          <w:b/>
          <w:sz w:val="32"/>
          <w:szCs w:val="32"/>
        </w:rPr>
        <w:t>Person Specification</w:t>
      </w:r>
      <w:r w:rsidR="000E5172">
        <w:rPr>
          <w:b/>
          <w:sz w:val="32"/>
          <w:szCs w:val="32"/>
        </w:rPr>
        <w:t xml:space="preserve"> March 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66"/>
        <w:gridCol w:w="6509"/>
        <w:gridCol w:w="1418"/>
      </w:tblGrid>
      <w:tr w:rsidR="00BA0943" w:rsidTr="00BA0943">
        <w:tc>
          <w:tcPr>
            <w:tcW w:w="1566" w:type="dxa"/>
          </w:tcPr>
          <w:p w:rsidR="00BA0943" w:rsidRPr="00991676" w:rsidRDefault="00BA0943">
            <w:pPr>
              <w:rPr>
                <w:b/>
              </w:rPr>
            </w:pPr>
            <w:r w:rsidRPr="00991676">
              <w:rPr>
                <w:b/>
              </w:rPr>
              <w:t>Area of Expertise</w:t>
            </w:r>
          </w:p>
        </w:tc>
        <w:tc>
          <w:tcPr>
            <w:tcW w:w="6509" w:type="dxa"/>
          </w:tcPr>
          <w:p w:rsidR="00BA0943" w:rsidRPr="00991676" w:rsidRDefault="00BA0943">
            <w:pPr>
              <w:rPr>
                <w:b/>
              </w:rPr>
            </w:pPr>
          </w:p>
        </w:tc>
        <w:tc>
          <w:tcPr>
            <w:tcW w:w="1418" w:type="dxa"/>
          </w:tcPr>
          <w:p w:rsidR="00BA0943" w:rsidRPr="00BA0943" w:rsidRDefault="00BA0943">
            <w:pPr>
              <w:rPr>
                <w:rFonts w:cstheme="minorHAnsi"/>
                <w:b/>
              </w:rPr>
            </w:pPr>
            <w:r w:rsidRPr="00BA0943">
              <w:rPr>
                <w:rFonts w:cstheme="minorHAnsi"/>
                <w:b/>
              </w:rPr>
              <w:t>Essential/</w:t>
            </w:r>
          </w:p>
          <w:p w:rsidR="00BA0943" w:rsidRPr="00B323F8" w:rsidRDefault="00BA0943">
            <w:pPr>
              <w:rPr>
                <w:b/>
                <w:sz w:val="16"/>
                <w:szCs w:val="16"/>
              </w:rPr>
            </w:pPr>
            <w:r w:rsidRPr="00BA0943">
              <w:rPr>
                <w:rFonts w:cstheme="minorHAnsi"/>
                <w:b/>
              </w:rPr>
              <w:t>Desirable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Pr="00203087" w:rsidRDefault="00BA0943">
            <w:r w:rsidRPr="00203087">
              <w:t>Safeguarding</w:t>
            </w:r>
          </w:p>
        </w:tc>
        <w:tc>
          <w:tcPr>
            <w:tcW w:w="6509" w:type="dxa"/>
          </w:tcPr>
          <w:p w:rsidR="00BA0943" w:rsidRPr="00203087" w:rsidRDefault="00BA0943">
            <w:r w:rsidRPr="00203087">
              <w:t>Ability to underpin outstanding safeguarding in all aspects of college life</w:t>
            </w:r>
            <w:r>
              <w:t>.</w:t>
            </w:r>
          </w:p>
        </w:tc>
        <w:tc>
          <w:tcPr>
            <w:tcW w:w="1418" w:type="dxa"/>
          </w:tcPr>
          <w:p w:rsidR="00BA0943" w:rsidRPr="00203087" w:rsidRDefault="00BA0943">
            <w:r w:rsidRPr="00203087"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Pr="00991676" w:rsidRDefault="00BA0943">
            <w:pPr>
              <w:rPr>
                <w:b/>
              </w:rPr>
            </w:pPr>
          </w:p>
        </w:tc>
        <w:tc>
          <w:tcPr>
            <w:tcW w:w="6509" w:type="dxa"/>
          </w:tcPr>
          <w:p w:rsidR="00BA0943" w:rsidRPr="00203087" w:rsidRDefault="00BA0943">
            <w:r>
              <w:t xml:space="preserve">Knowledge </w:t>
            </w:r>
            <w:r w:rsidRPr="00203087">
              <w:t>of the principles of Safeguarding adults with SEND.</w:t>
            </w:r>
          </w:p>
        </w:tc>
        <w:tc>
          <w:tcPr>
            <w:tcW w:w="1418" w:type="dxa"/>
          </w:tcPr>
          <w:p w:rsidR="00BA0943" w:rsidRPr="00203087" w:rsidRDefault="00BA0943">
            <w:r w:rsidRPr="00203087"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Pr="00991676" w:rsidRDefault="00BA0943">
            <w:pPr>
              <w:rPr>
                <w:b/>
              </w:rPr>
            </w:pPr>
          </w:p>
        </w:tc>
        <w:tc>
          <w:tcPr>
            <w:tcW w:w="6509" w:type="dxa"/>
          </w:tcPr>
          <w:p w:rsidR="00BA0943" w:rsidRPr="00203087" w:rsidRDefault="00BA0943">
            <w:r>
              <w:t xml:space="preserve">Experience of a </w:t>
            </w:r>
            <w:r w:rsidRPr="00873567">
              <w:t xml:space="preserve">multi-agency </w:t>
            </w:r>
            <w:r>
              <w:t>approach to safeguarding.</w:t>
            </w:r>
          </w:p>
        </w:tc>
        <w:tc>
          <w:tcPr>
            <w:tcW w:w="1418" w:type="dxa"/>
          </w:tcPr>
          <w:p w:rsidR="00BA0943" w:rsidRPr="00203087" w:rsidRDefault="00BA0943">
            <w:r w:rsidRPr="00203087">
              <w:t>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 xml:space="preserve">Qualifications and Further Training </w:t>
            </w:r>
          </w:p>
        </w:tc>
        <w:tc>
          <w:tcPr>
            <w:tcW w:w="6509" w:type="dxa"/>
          </w:tcPr>
          <w:p w:rsidR="00BA0943" w:rsidRDefault="00BA0943">
            <w:r>
              <w:t>Qualified Teacher Status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Further qualification in Education Management</w:t>
            </w:r>
          </w:p>
        </w:tc>
        <w:tc>
          <w:tcPr>
            <w:tcW w:w="1418" w:type="dxa"/>
          </w:tcPr>
          <w:p w:rsidR="00BA0943" w:rsidRDefault="00BA0943">
            <w:r>
              <w:t>D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Further qualification in SEND</w:t>
            </w:r>
          </w:p>
        </w:tc>
        <w:tc>
          <w:tcPr>
            <w:tcW w:w="1418" w:type="dxa"/>
          </w:tcPr>
          <w:p w:rsidR="00BA0943" w:rsidRDefault="00BA0943">
            <w:r>
              <w:t>D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Team Teach qualification</w:t>
            </w:r>
          </w:p>
        </w:tc>
        <w:tc>
          <w:tcPr>
            <w:tcW w:w="1418" w:type="dxa"/>
          </w:tcPr>
          <w:p w:rsidR="00BA0943" w:rsidRDefault="00BA0943">
            <w:r>
              <w:t>D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 w:rsidP="00211AC4">
            <w:r>
              <w:t>Experience</w:t>
            </w:r>
          </w:p>
        </w:tc>
        <w:tc>
          <w:tcPr>
            <w:tcW w:w="6509" w:type="dxa"/>
          </w:tcPr>
          <w:p w:rsidR="00BA0943" w:rsidRDefault="00BA0943">
            <w:r>
              <w:t>Leadership and management experience in the Post 19 Sector</w:t>
            </w:r>
          </w:p>
        </w:tc>
        <w:tc>
          <w:tcPr>
            <w:tcW w:w="1418" w:type="dxa"/>
          </w:tcPr>
          <w:p w:rsidR="00BA0943" w:rsidRDefault="00BA0943">
            <w:r w:rsidRPr="00991676"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Experience of teaching in the Post 19 Sector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Successful teaching experience with students with SLD, PMLD and Autism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A75B3B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Experience of evaluating provision to create a college SAR and quality improvement plan.</w:t>
            </w:r>
          </w:p>
        </w:tc>
        <w:tc>
          <w:tcPr>
            <w:tcW w:w="1418" w:type="dxa"/>
            <w:shd w:val="clear" w:color="auto" w:fill="auto"/>
          </w:tcPr>
          <w:p w:rsidR="00BA0943" w:rsidRDefault="00BA0943">
            <w:r w:rsidRPr="00A75B3B">
              <w:t>D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 xml:space="preserve">Strategic Direction and Development </w:t>
            </w:r>
          </w:p>
        </w:tc>
        <w:tc>
          <w:tcPr>
            <w:tcW w:w="6509" w:type="dxa"/>
          </w:tcPr>
          <w:p w:rsidR="00BA0943" w:rsidRDefault="00BA0943">
            <w:r>
              <w:t>Ability to provide clear direction and lead by example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631FA7">
              <w:t>Ability to formulate, monitor, evaluate and review plans and policies.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950BC4">
              <w:t>Tho</w:t>
            </w:r>
            <w:r>
              <w:t xml:space="preserve">rough working knowledge </w:t>
            </w:r>
            <w:r w:rsidRPr="00950BC4">
              <w:t xml:space="preserve">of </w:t>
            </w:r>
            <w:r>
              <w:t>the SEND Code of Practice 2014.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>Leading and Managing Staff</w:t>
            </w:r>
          </w:p>
        </w:tc>
        <w:tc>
          <w:tcPr>
            <w:tcW w:w="6509" w:type="dxa"/>
          </w:tcPr>
          <w:p w:rsidR="00BA0943" w:rsidRDefault="00BA0943">
            <w:r w:rsidRPr="00E12E07">
              <w:t>Ability to provide effective and innovative leadership</w:t>
            </w:r>
            <w:r>
              <w:t>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Ability to</w:t>
            </w:r>
            <w:r w:rsidRPr="00E12E07">
              <w:t xml:space="preserve"> manage and develop staff teams effectively.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E12E07">
              <w:t xml:space="preserve">Ability to support effective communication 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950BC4">
              <w:t>Ability to manage change effectively.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>Standards and Progress</w:t>
            </w:r>
          </w:p>
        </w:tc>
        <w:tc>
          <w:tcPr>
            <w:tcW w:w="6509" w:type="dxa"/>
          </w:tcPr>
          <w:p w:rsidR="00BA0943" w:rsidRDefault="00BA0943">
            <w:r w:rsidRPr="007B062D">
              <w:t xml:space="preserve">Good analytical skills and the ability to </w:t>
            </w:r>
            <w:r>
              <w:t xml:space="preserve">interpret </w:t>
            </w:r>
            <w:r w:rsidRPr="007B062D">
              <w:t>da</w:t>
            </w:r>
            <w:r>
              <w:t xml:space="preserve">ta </w:t>
            </w:r>
            <w:r w:rsidRPr="001B6AE6">
              <w:t>to</w:t>
            </w:r>
            <w:r>
              <w:t xml:space="preserve"> monitor provision and </w:t>
            </w:r>
            <w:r w:rsidRPr="001B6AE6">
              <w:t>raise standards</w:t>
            </w:r>
            <w:r>
              <w:t>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7B062D">
              <w:t>Ability to support the head and governors in setting</w:t>
            </w:r>
            <w:r>
              <w:t xml:space="preserve"> </w:t>
            </w:r>
            <w:r w:rsidRPr="007B062D">
              <w:t xml:space="preserve">and achieving challenging targets for the </w:t>
            </w:r>
            <w:r>
              <w:t>college.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>Teaching and Learning</w:t>
            </w:r>
          </w:p>
        </w:tc>
        <w:tc>
          <w:tcPr>
            <w:tcW w:w="6509" w:type="dxa"/>
          </w:tcPr>
          <w:p w:rsidR="00BA0943" w:rsidRDefault="00BA0943">
            <w:r>
              <w:t>Understanding of the principles of effective learning for students with significant SEN and the ability to promote a culture of learning throughout the college.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Understanding of the principles of curriculum provision in Post 19 SEND provision.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Understanding of the role of assessment in students’ learning.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Successful experience of monitoring, evaluating and improving the quality of teaching and learning.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>Ethos and Inclusion</w:t>
            </w:r>
          </w:p>
        </w:tc>
        <w:tc>
          <w:tcPr>
            <w:tcW w:w="6509" w:type="dxa"/>
          </w:tcPr>
          <w:p w:rsidR="00BA0943" w:rsidRDefault="00BA0943">
            <w:r w:rsidRPr="00873567">
              <w:rPr>
                <w:bCs/>
              </w:rPr>
              <w:t>Understanding of the factors which create</w:t>
            </w:r>
            <w:r>
              <w:rPr>
                <w:bCs/>
              </w:rPr>
              <w:t xml:space="preserve"> </w:t>
            </w:r>
            <w:r w:rsidRPr="00873567">
              <w:rPr>
                <w:bCs/>
              </w:rPr>
              <w:t>barriers to l</w:t>
            </w:r>
            <w:r>
              <w:rPr>
                <w:bCs/>
              </w:rPr>
              <w:t xml:space="preserve">earning and ability to implement </w:t>
            </w:r>
            <w:r w:rsidRPr="00873567">
              <w:rPr>
                <w:bCs/>
              </w:rPr>
              <w:t>appropriate strategies for reducing inequalities</w:t>
            </w:r>
            <w:r>
              <w:rPr>
                <w:bCs/>
              </w:rPr>
              <w:t xml:space="preserve"> and promoting</w:t>
            </w:r>
            <w:r w:rsidRPr="00873567">
              <w:rPr>
                <w:bCs/>
              </w:rPr>
              <w:t xml:space="preserve"> inclusion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>
              <w:t>Commitment to providing a curriculum which prepares students for adulthood.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873567">
              <w:t>Commitment to multi-agency teamwork</w:t>
            </w:r>
            <w:r>
              <w:t>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Pr="00873567" w:rsidRDefault="00BA0943">
            <w:r>
              <w:t>Commitment to developing community links to support student learning.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Pr="00873567" w:rsidRDefault="00BA0943">
            <w:r w:rsidRPr="00873567">
              <w:t>Commitment to equality of opportunity.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>Relationship with parents and carers</w:t>
            </w:r>
          </w:p>
        </w:tc>
        <w:tc>
          <w:tcPr>
            <w:tcW w:w="6509" w:type="dxa"/>
          </w:tcPr>
          <w:p w:rsidR="00BA0943" w:rsidRPr="00873567" w:rsidRDefault="00BA0943">
            <w:r>
              <w:t>Successful experience of creating and maintaining effective partnerships with parents and carers to support student learning.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370700">
              <w:t>The ability to maintain effective relationships with the Governing Body, the Local Authority and other support agencies.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Default="00BA0943">
            <w:r w:rsidRPr="00370700">
              <w:t xml:space="preserve">The ability and commitment to </w:t>
            </w:r>
            <w:r>
              <w:t xml:space="preserve">champion students and promote </w:t>
            </w:r>
            <w:r w:rsidRPr="00370700">
              <w:t xml:space="preserve">the </w:t>
            </w:r>
            <w:r>
              <w:t xml:space="preserve">college </w:t>
            </w:r>
            <w:r w:rsidRPr="00370700">
              <w:t>positively in the community.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FD52E1" w:rsidTr="00BA0943">
        <w:tc>
          <w:tcPr>
            <w:tcW w:w="1566" w:type="dxa"/>
            <w:vMerge w:val="restart"/>
          </w:tcPr>
          <w:p w:rsidR="00FD52E1" w:rsidRDefault="00FD52E1">
            <w:r w:rsidRPr="00370700">
              <w:rPr>
                <w:bCs/>
              </w:rPr>
              <w:t>Deployment of</w:t>
            </w:r>
            <w:r>
              <w:rPr>
                <w:bCs/>
              </w:rPr>
              <w:t xml:space="preserve"> </w:t>
            </w:r>
            <w:r w:rsidRPr="00370700">
              <w:rPr>
                <w:bCs/>
              </w:rPr>
              <w:t>Staff and</w:t>
            </w:r>
            <w:r>
              <w:rPr>
                <w:bCs/>
              </w:rPr>
              <w:t xml:space="preserve"> </w:t>
            </w:r>
            <w:r w:rsidRPr="00370700">
              <w:rPr>
                <w:bCs/>
              </w:rPr>
              <w:t>Resources</w:t>
            </w:r>
          </w:p>
        </w:tc>
        <w:tc>
          <w:tcPr>
            <w:tcW w:w="6509" w:type="dxa"/>
          </w:tcPr>
          <w:p w:rsidR="00FD52E1" w:rsidRPr="00370700" w:rsidRDefault="00FD52E1">
            <w:r>
              <w:t>Ability to support the headteacher in deciding on the effective deployment of staff.</w:t>
            </w:r>
          </w:p>
        </w:tc>
        <w:tc>
          <w:tcPr>
            <w:tcW w:w="1418" w:type="dxa"/>
          </w:tcPr>
          <w:p w:rsidR="00FD52E1" w:rsidRDefault="00FD52E1">
            <w:r>
              <w:t>E</w:t>
            </w:r>
          </w:p>
        </w:tc>
      </w:tr>
      <w:tr w:rsidR="00FD52E1" w:rsidTr="00BA0943">
        <w:tc>
          <w:tcPr>
            <w:tcW w:w="1566" w:type="dxa"/>
            <w:vMerge/>
          </w:tcPr>
          <w:p w:rsidR="00FD52E1" w:rsidRPr="00370700" w:rsidRDefault="00FD52E1">
            <w:pPr>
              <w:rPr>
                <w:bCs/>
              </w:rPr>
            </w:pPr>
          </w:p>
        </w:tc>
        <w:tc>
          <w:tcPr>
            <w:tcW w:w="6509" w:type="dxa"/>
          </w:tcPr>
          <w:p w:rsidR="00FD52E1" w:rsidRDefault="00FD52E1">
            <w:r>
              <w:t>Knowledge of conditions of funding for 16-19 FE provision</w:t>
            </w:r>
          </w:p>
        </w:tc>
        <w:tc>
          <w:tcPr>
            <w:tcW w:w="1418" w:type="dxa"/>
          </w:tcPr>
          <w:p w:rsidR="00FD52E1" w:rsidRDefault="00FD52E1">
            <w:r>
              <w:t>D</w:t>
            </w:r>
          </w:p>
        </w:tc>
      </w:tr>
      <w:tr w:rsidR="00FD52E1" w:rsidTr="00BA0943">
        <w:tc>
          <w:tcPr>
            <w:tcW w:w="1566" w:type="dxa"/>
            <w:vMerge/>
          </w:tcPr>
          <w:p w:rsidR="00FD52E1" w:rsidRPr="00370700" w:rsidRDefault="00FD52E1">
            <w:pPr>
              <w:rPr>
                <w:bCs/>
              </w:rPr>
            </w:pPr>
          </w:p>
        </w:tc>
        <w:tc>
          <w:tcPr>
            <w:tcW w:w="6509" w:type="dxa"/>
          </w:tcPr>
          <w:p w:rsidR="00FD52E1" w:rsidRPr="00370700" w:rsidRDefault="00FD52E1">
            <w:r>
              <w:t>Understanding of the principles underlying effective financial management.</w:t>
            </w:r>
          </w:p>
        </w:tc>
        <w:tc>
          <w:tcPr>
            <w:tcW w:w="1418" w:type="dxa"/>
          </w:tcPr>
          <w:p w:rsidR="00FD52E1" w:rsidRDefault="00FD52E1">
            <w:r>
              <w:t>E</w:t>
            </w:r>
          </w:p>
        </w:tc>
      </w:tr>
      <w:tr w:rsidR="00FD52E1" w:rsidTr="00BA0943">
        <w:tc>
          <w:tcPr>
            <w:tcW w:w="1566" w:type="dxa"/>
            <w:vMerge/>
          </w:tcPr>
          <w:p w:rsidR="00FD52E1" w:rsidRPr="00370700" w:rsidRDefault="00FD52E1">
            <w:pPr>
              <w:rPr>
                <w:bCs/>
              </w:rPr>
            </w:pPr>
          </w:p>
        </w:tc>
        <w:tc>
          <w:tcPr>
            <w:tcW w:w="6509" w:type="dxa"/>
          </w:tcPr>
          <w:p w:rsidR="00FD52E1" w:rsidRPr="00370700" w:rsidRDefault="00FD52E1">
            <w:r>
              <w:t>Understanding of managing and monitoring a budget.</w:t>
            </w:r>
          </w:p>
        </w:tc>
        <w:tc>
          <w:tcPr>
            <w:tcW w:w="1418" w:type="dxa"/>
          </w:tcPr>
          <w:p w:rsidR="00FD52E1" w:rsidRDefault="00FD52E1">
            <w:r>
              <w:t>D</w:t>
            </w:r>
          </w:p>
        </w:tc>
      </w:tr>
      <w:tr w:rsidR="00FD52E1" w:rsidTr="00BA0943">
        <w:tc>
          <w:tcPr>
            <w:tcW w:w="1566" w:type="dxa"/>
            <w:vMerge/>
          </w:tcPr>
          <w:p w:rsidR="00FD52E1" w:rsidRPr="00370700" w:rsidRDefault="00FD52E1">
            <w:pPr>
              <w:rPr>
                <w:bCs/>
              </w:rPr>
            </w:pPr>
          </w:p>
        </w:tc>
        <w:tc>
          <w:tcPr>
            <w:tcW w:w="6509" w:type="dxa"/>
          </w:tcPr>
          <w:p w:rsidR="00FD52E1" w:rsidRDefault="00FD52E1">
            <w:r>
              <w:t>A high level of computer literacy and ability to use systems</w:t>
            </w:r>
          </w:p>
        </w:tc>
        <w:tc>
          <w:tcPr>
            <w:tcW w:w="1418" w:type="dxa"/>
          </w:tcPr>
          <w:p w:rsidR="00FD52E1" w:rsidRDefault="00A75B3B">
            <w:r>
              <w:t>E</w:t>
            </w:r>
            <w:bookmarkStart w:id="0" w:name="_GoBack"/>
            <w:bookmarkEnd w:id="0"/>
          </w:p>
        </w:tc>
      </w:tr>
      <w:tr w:rsidR="00BA0943" w:rsidTr="00BA0943">
        <w:tc>
          <w:tcPr>
            <w:tcW w:w="1566" w:type="dxa"/>
            <w:vMerge w:val="restart"/>
          </w:tcPr>
          <w:p w:rsidR="00BA0943" w:rsidRDefault="00BA0943">
            <w:r>
              <w:t>Personal Qualities</w:t>
            </w:r>
          </w:p>
        </w:tc>
        <w:tc>
          <w:tcPr>
            <w:tcW w:w="6509" w:type="dxa"/>
          </w:tcPr>
          <w:p w:rsidR="00BA0943" w:rsidRPr="00370700" w:rsidRDefault="00BA0943">
            <w:r>
              <w:t>Emotional Resilience.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Pr="00370700" w:rsidRDefault="00BA0943">
            <w:r>
              <w:t>Effective interpersonal, communication and presentation skills.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Pr="00370700" w:rsidRDefault="00BA0943">
            <w:r>
              <w:t>Commitment to wellbeing management and good attendance at work.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Pr="00370700" w:rsidRDefault="00BA0943">
            <w:r>
              <w:t>Commitment to work/life balance.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  <w:tr w:rsidR="00BA0943" w:rsidTr="00BA0943">
        <w:tc>
          <w:tcPr>
            <w:tcW w:w="1566" w:type="dxa"/>
            <w:vMerge/>
          </w:tcPr>
          <w:p w:rsidR="00BA0943" w:rsidRDefault="00BA0943"/>
        </w:tc>
        <w:tc>
          <w:tcPr>
            <w:tcW w:w="6509" w:type="dxa"/>
          </w:tcPr>
          <w:p w:rsidR="00BA0943" w:rsidRPr="00370700" w:rsidRDefault="00BA0943">
            <w:r>
              <w:t>Effective ICT skills.</w:t>
            </w:r>
          </w:p>
        </w:tc>
        <w:tc>
          <w:tcPr>
            <w:tcW w:w="1418" w:type="dxa"/>
          </w:tcPr>
          <w:p w:rsidR="00BA0943" w:rsidRDefault="00BA0943">
            <w:r>
              <w:t>E</w:t>
            </w:r>
          </w:p>
        </w:tc>
      </w:tr>
    </w:tbl>
    <w:p w:rsidR="006328AA" w:rsidRDefault="006328AA"/>
    <w:sectPr w:rsidR="006328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72" w:rsidRDefault="000E5172" w:rsidP="000E5172">
      <w:pPr>
        <w:spacing w:after="0" w:line="240" w:lineRule="auto"/>
      </w:pPr>
      <w:r>
        <w:separator/>
      </w:r>
    </w:p>
  </w:endnote>
  <w:endnote w:type="continuationSeparator" w:id="0">
    <w:p w:rsidR="000E5172" w:rsidRDefault="000E5172" w:rsidP="000E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72" w:rsidRDefault="000E5172" w:rsidP="000E5172">
      <w:pPr>
        <w:spacing w:after="0" w:line="240" w:lineRule="auto"/>
      </w:pPr>
      <w:r>
        <w:separator/>
      </w:r>
    </w:p>
  </w:footnote>
  <w:footnote w:type="continuationSeparator" w:id="0">
    <w:p w:rsidR="000E5172" w:rsidRDefault="000E5172" w:rsidP="000E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72" w:rsidRDefault="000E51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AED22E" wp14:editId="48C2069A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841310" cy="781813"/>
          <wp:effectExtent l="0" t="0" r="6985" b="0"/>
          <wp:wrapNone/>
          <wp:docPr id="2" name="AD537EAC-0065-45D7-A8E3-8D114D38D824" descr="407A12CD-CDDD-4D5B-A769-54B61B116A0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AD537EAC-0065-45D7-A8E3-8D114D38D824" descr="407A12CD-CDDD-4D5B-A769-54B61B116A0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31" t="2863" r="12466" b="75857"/>
                  <a:stretch/>
                </pic:blipFill>
                <pic:spPr bwMode="auto">
                  <a:xfrm>
                    <a:off x="0" y="0"/>
                    <a:ext cx="1841310" cy="781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4D"/>
    <w:rsid w:val="000D2EB0"/>
    <w:rsid w:val="000E5172"/>
    <w:rsid w:val="001F19FC"/>
    <w:rsid w:val="00203087"/>
    <w:rsid w:val="004A599E"/>
    <w:rsid w:val="0058698B"/>
    <w:rsid w:val="006328AA"/>
    <w:rsid w:val="00647103"/>
    <w:rsid w:val="006579E0"/>
    <w:rsid w:val="006D3ECB"/>
    <w:rsid w:val="00712FC6"/>
    <w:rsid w:val="008B484D"/>
    <w:rsid w:val="00991676"/>
    <w:rsid w:val="00A0783E"/>
    <w:rsid w:val="00A75B3B"/>
    <w:rsid w:val="00B323F8"/>
    <w:rsid w:val="00B35EB1"/>
    <w:rsid w:val="00BA0943"/>
    <w:rsid w:val="00C4390A"/>
    <w:rsid w:val="00E5244A"/>
    <w:rsid w:val="00FD19B0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4531"/>
  <w15:chartTrackingRefBased/>
  <w15:docId w15:val="{567EBB56-F5BF-4C17-B3AD-EE9CEA78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72"/>
  </w:style>
  <w:style w:type="paragraph" w:styleId="Footer">
    <w:name w:val="footer"/>
    <w:basedOn w:val="Normal"/>
    <w:link w:val="FooterChar"/>
    <w:uiPriority w:val="99"/>
    <w:unhideWhenUsed/>
    <w:rsid w:val="000E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Lomas</dc:creator>
  <cp:keywords/>
  <dc:description/>
  <cp:lastModifiedBy>Jane Roberts</cp:lastModifiedBy>
  <cp:revision>7</cp:revision>
  <dcterms:created xsi:type="dcterms:W3CDTF">2024-03-20T11:25:00Z</dcterms:created>
  <dcterms:modified xsi:type="dcterms:W3CDTF">2024-03-22T13:07:00Z</dcterms:modified>
</cp:coreProperties>
</file>