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0E342E" w14:paraId="50AA4FF6"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32D532E" w14:textId="67C049A7" w:rsidR="17E65116" w:rsidRPr="000E342E" w:rsidRDefault="17E65116" w:rsidP="17E65116">
            <w:pPr>
              <w:jc w:val="center"/>
              <w:rPr>
                <w:rFonts w:ascii="Avenir Next LT Pro" w:hAnsi="Avenir Next LT Pro" w:cs="Arial"/>
                <w:sz w:val="22"/>
                <w:szCs w:val="22"/>
              </w:rPr>
            </w:pPr>
            <w:r w:rsidRPr="000E342E">
              <w:rPr>
                <w:rFonts w:ascii="Avenir Next LT Pro" w:eastAsia="Arial" w:hAnsi="Avenir Next LT Pro" w:cs="Arial"/>
                <w:b/>
                <w:bCs/>
                <w:color w:val="FFFFFF" w:themeColor="background1"/>
                <w:sz w:val="22"/>
                <w:szCs w:val="22"/>
              </w:rPr>
              <w:t>Job Description</w:t>
            </w:r>
          </w:p>
          <w:p w14:paraId="6BDD4D0F" w14:textId="73D392AC"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sz w:val="22"/>
                <w:szCs w:val="22"/>
              </w:rPr>
              <w:t xml:space="preserve"> </w:t>
            </w:r>
          </w:p>
        </w:tc>
      </w:tr>
      <w:tr w:rsidR="17E65116" w:rsidRPr="000E342E" w14:paraId="593A7119"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02212DFD" w:rsidR="004C2F6B" w:rsidRPr="00FA0348" w:rsidRDefault="003124E8" w:rsidP="5CF785E3">
            <w:pPr>
              <w:rPr>
                <w:rFonts w:ascii="Avenir Next LT Pro" w:eastAsia="Arial" w:hAnsi="Avenir Next LT Pro" w:cs="Arial"/>
                <w:color w:val="000000" w:themeColor="text1"/>
                <w:sz w:val="22"/>
                <w:szCs w:val="22"/>
                <w:lang w:val="en-GB"/>
              </w:rPr>
            </w:pPr>
            <w:r>
              <w:rPr>
                <w:rFonts w:ascii="Avenir Next LT Pro" w:eastAsia="Arial" w:hAnsi="Avenir Next LT Pro" w:cs="Arial"/>
                <w:color w:val="000000" w:themeColor="text1"/>
                <w:sz w:val="22"/>
                <w:szCs w:val="22"/>
                <w:lang w:val="en-GB"/>
              </w:rPr>
              <w:t>Trust Communication Officer</w:t>
            </w:r>
          </w:p>
        </w:tc>
      </w:tr>
      <w:tr w:rsidR="007A33F3" w:rsidRPr="000E342E" w14:paraId="7E951B08"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9E4C3F0" w14:textId="0D7075A6" w:rsidR="007A33F3" w:rsidRDefault="00592409" w:rsidP="17E65116">
            <w:pPr>
              <w:rPr>
                <w:rFonts w:ascii="Avenir Next LT Pro" w:eastAsia="Arial" w:hAnsi="Avenir Next LT Pro" w:cs="Arial"/>
                <w:b/>
                <w:bCs/>
                <w:sz w:val="22"/>
                <w:szCs w:val="22"/>
              </w:rPr>
            </w:pPr>
            <w:r>
              <w:rPr>
                <w:rFonts w:ascii="Avenir Next LT Pro" w:eastAsia="Arial" w:hAnsi="Avenir Next LT Pro" w:cs="Arial"/>
                <w:b/>
                <w:bCs/>
                <w:sz w:val="22"/>
                <w:szCs w:val="22"/>
              </w:rPr>
              <w:t>Pay scale</w:t>
            </w:r>
            <w:r w:rsidR="007A33F3">
              <w:rPr>
                <w:rFonts w:ascii="Avenir Next LT Pro" w:eastAsia="Arial" w:hAnsi="Avenir Next LT Pro" w:cs="Arial"/>
                <w:b/>
                <w:bCs/>
                <w:sz w:val="22"/>
                <w:szCs w:val="22"/>
              </w:rPr>
              <w:t>:</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483D9BF7" w14:textId="0A615C1E" w:rsidR="007A33F3" w:rsidRPr="00FA0348" w:rsidRDefault="003124E8" w:rsidP="1F41EC6A">
            <w:pPr>
              <w:rPr>
                <w:rFonts w:ascii="Avenir Next LT Pro" w:eastAsia="Arial" w:hAnsi="Avenir Next LT Pro" w:cs="Arial"/>
                <w:sz w:val="22"/>
                <w:szCs w:val="22"/>
              </w:rPr>
            </w:pPr>
            <w:r>
              <w:rPr>
                <w:rFonts w:ascii="Avenir Next LT Pro" w:eastAsia="Arial" w:hAnsi="Avenir Next LT Pro" w:cs="Arial"/>
                <w:sz w:val="22"/>
                <w:szCs w:val="22"/>
              </w:rPr>
              <w:t>Grade 6</w:t>
            </w:r>
            <w:r w:rsidR="00D649FD">
              <w:rPr>
                <w:rFonts w:ascii="Avenir Next LT Pro" w:eastAsia="Arial" w:hAnsi="Avenir Next LT Pro" w:cs="Arial"/>
                <w:sz w:val="22"/>
                <w:szCs w:val="22"/>
              </w:rPr>
              <w:t xml:space="preserve">, </w:t>
            </w:r>
            <w:r w:rsidR="00F85CAB">
              <w:rPr>
                <w:rFonts w:ascii="Avenir Next LT Pro" w:eastAsia="Arial" w:hAnsi="Avenir Next LT Pro" w:cs="Arial"/>
                <w:sz w:val="22"/>
                <w:szCs w:val="22"/>
              </w:rPr>
              <w:t>scp 19-24</w:t>
            </w:r>
            <w:r w:rsidR="00C93093">
              <w:rPr>
                <w:rFonts w:ascii="Avenir Next LT Pro" w:eastAsia="Arial" w:hAnsi="Avenir Next LT Pro" w:cs="Arial"/>
                <w:sz w:val="22"/>
                <w:szCs w:val="22"/>
              </w:rPr>
              <w:t xml:space="preserve">, </w:t>
            </w:r>
            <w:r w:rsidR="00D649FD">
              <w:rPr>
                <w:rFonts w:ascii="Avenir Next LT Pro" w:eastAsia="Arial" w:hAnsi="Avenir Next LT Pro" w:cs="Arial"/>
                <w:sz w:val="22"/>
                <w:szCs w:val="22"/>
              </w:rPr>
              <w:t xml:space="preserve">£32,061 </w:t>
            </w:r>
            <w:r w:rsidR="00C93093">
              <w:rPr>
                <w:rFonts w:ascii="Avenir Next LT Pro" w:eastAsia="Arial" w:hAnsi="Avenir Next LT Pro" w:cs="Arial"/>
                <w:sz w:val="22"/>
                <w:szCs w:val="22"/>
              </w:rPr>
              <w:t>- £</w:t>
            </w:r>
            <w:r w:rsidR="00303E89">
              <w:rPr>
                <w:rFonts w:ascii="Avenir Next LT Pro" w:eastAsia="Arial" w:hAnsi="Avenir Next LT Pro" w:cs="Arial"/>
                <w:sz w:val="22"/>
                <w:szCs w:val="22"/>
              </w:rPr>
              <w:t>35,412 p</w:t>
            </w:r>
            <w:r w:rsidR="00C93093">
              <w:rPr>
                <w:rFonts w:ascii="Avenir Next LT Pro" w:eastAsia="Arial" w:hAnsi="Avenir Next LT Pro" w:cs="Arial"/>
                <w:sz w:val="22"/>
                <w:szCs w:val="22"/>
              </w:rPr>
              <w:t>er annum</w:t>
            </w:r>
          </w:p>
        </w:tc>
      </w:tr>
      <w:tr w:rsidR="007A33F3" w:rsidRPr="000E342E" w14:paraId="22A4E1BA"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3D8EE7A1" w14:textId="5C4D7CBE" w:rsidR="007A33F3" w:rsidRDefault="007A33F3" w:rsidP="17E65116">
            <w:pPr>
              <w:rPr>
                <w:rFonts w:ascii="Avenir Next LT Pro" w:eastAsia="Arial" w:hAnsi="Avenir Next LT Pro" w:cs="Arial"/>
                <w:b/>
                <w:bCs/>
                <w:sz w:val="22"/>
                <w:szCs w:val="22"/>
              </w:rPr>
            </w:pPr>
            <w:r>
              <w:rPr>
                <w:rFonts w:ascii="Avenir Next LT Pro" w:eastAsia="Arial" w:hAnsi="Avenir Next LT Pro"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2E58E062" w14:textId="42082451" w:rsidR="007A33F3" w:rsidRPr="00FA0348" w:rsidRDefault="00303E89" w:rsidP="1F41EC6A">
            <w:pPr>
              <w:rPr>
                <w:rFonts w:ascii="Avenir Next LT Pro" w:eastAsia="Arial" w:hAnsi="Avenir Next LT Pro" w:cs="Arial"/>
                <w:sz w:val="22"/>
                <w:szCs w:val="22"/>
              </w:rPr>
            </w:pPr>
            <w:r>
              <w:rPr>
                <w:rFonts w:ascii="Avenir Next LT Pro" w:eastAsia="Arial" w:hAnsi="Avenir Next LT Pro" w:cs="Arial"/>
                <w:sz w:val="22"/>
                <w:szCs w:val="22"/>
              </w:rPr>
              <w:t>Head of Innovation</w:t>
            </w:r>
          </w:p>
        </w:tc>
      </w:tr>
      <w:tr w:rsidR="17E65116" w:rsidRPr="000E342E" w14:paraId="6D1CC42B"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43B7BFDB" w:rsidR="17E65116" w:rsidRPr="00E349DA" w:rsidRDefault="00E44820" w:rsidP="17E65116">
            <w:pPr>
              <w:rPr>
                <w:rFonts w:ascii="Avenir Next LT Pro" w:hAnsi="Avenir Next LT Pro" w:cs="Arial"/>
                <w:sz w:val="22"/>
                <w:szCs w:val="22"/>
              </w:rPr>
            </w:pPr>
            <w:r>
              <w:rPr>
                <w:rFonts w:ascii="Avenir Next LT Pro" w:hAnsi="Avenir Next LT Pro" w:cs="Arial"/>
                <w:sz w:val="22"/>
                <w:szCs w:val="22"/>
              </w:rPr>
              <w:t>STOC Central Office with travel to other sites</w:t>
            </w:r>
          </w:p>
        </w:tc>
      </w:tr>
      <w:tr w:rsidR="009F4E79" w:rsidRPr="000E342E" w14:paraId="4FAFA78F" w14:textId="77777777" w:rsidTr="00DB3898">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066B80E" w14:textId="7E952244" w:rsidR="009F4E79" w:rsidRPr="000E342E" w:rsidRDefault="00155E56" w:rsidP="00DB3898">
            <w:pPr>
              <w:jc w:val="center"/>
              <w:rPr>
                <w:rFonts w:ascii="Avenir Next LT Pro" w:eastAsia="Arial" w:hAnsi="Avenir Next LT Pro" w:cs="Arial"/>
                <w:sz w:val="22"/>
                <w:szCs w:val="22"/>
              </w:rPr>
            </w:pPr>
            <w:r>
              <w:rPr>
                <w:rFonts w:ascii="Avenir Next LT Pro" w:eastAsia="Arial" w:hAnsi="Avenir Next LT Pro" w:cs="Arial"/>
                <w:b/>
                <w:bCs/>
                <w:color w:val="FFFFFF" w:themeColor="background1"/>
                <w:sz w:val="22"/>
                <w:szCs w:val="22"/>
              </w:rPr>
              <w:t>Main Duties</w:t>
            </w:r>
          </w:p>
        </w:tc>
      </w:tr>
      <w:tr w:rsidR="00BF3465" w:rsidRPr="000E342E" w14:paraId="21E7FDA9" w14:textId="77777777" w:rsidTr="00BF3465">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545B9B3" w14:textId="1E709A51" w:rsidR="009B2BA3" w:rsidRPr="00E3130F" w:rsidRDefault="009B2BA3" w:rsidP="00392610">
            <w:pPr>
              <w:pStyle w:val="ListParagraph"/>
              <w:numPr>
                <w:ilvl w:val="0"/>
                <w:numId w:val="3"/>
              </w:numPr>
              <w:rPr>
                <w:rFonts w:ascii="Avenir Next LT Pro" w:eastAsia="Arial" w:hAnsi="Avenir Next LT Pro" w:cs="Arial"/>
                <w:sz w:val="22"/>
                <w:szCs w:val="22"/>
              </w:rPr>
            </w:pPr>
            <w:r w:rsidRPr="00E3130F">
              <w:rPr>
                <w:rFonts w:ascii="Avenir Next LT Pro" w:eastAsia="Arial" w:hAnsi="Avenir Next LT Pro" w:cs="Arial"/>
                <w:sz w:val="22"/>
                <w:szCs w:val="22"/>
              </w:rPr>
              <w:t>Support the Head of Innovation in the rollout of new learning technology systems by creating and sharing clear communication materials</w:t>
            </w:r>
            <w:r w:rsidR="00E3130F" w:rsidRPr="00E3130F">
              <w:rPr>
                <w:rFonts w:ascii="Avenir Next LT Pro" w:eastAsia="Arial" w:hAnsi="Avenir Next LT Pro" w:cs="Arial"/>
                <w:sz w:val="22"/>
                <w:szCs w:val="22"/>
              </w:rPr>
              <w:t xml:space="preserve"> in a timely manner, liaising with colleagues and IT teams where appropriate.</w:t>
            </w:r>
          </w:p>
          <w:p w14:paraId="0A24353F" w14:textId="77777777" w:rsidR="00392610" w:rsidRDefault="00392610" w:rsidP="00392610">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Assist in liaising with Trust schools and local digital leads by preparing updates, guidance notes, and resources to aid </w:t>
            </w:r>
            <w:r w:rsidR="00304ADB">
              <w:rPr>
                <w:rFonts w:ascii="Avenir Next LT Pro" w:eastAsia="Arial" w:hAnsi="Avenir Next LT Pro" w:cs="Arial"/>
                <w:sz w:val="22"/>
                <w:szCs w:val="22"/>
              </w:rPr>
              <w:t>staff understanding and engagement.</w:t>
            </w:r>
          </w:p>
          <w:p w14:paraId="49CE5A74" w14:textId="70127C1E" w:rsidR="00282E73" w:rsidRDefault="00282E73" w:rsidP="00392610">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Help capture and share examples of classroom practice where Trust-wide </w:t>
            </w:r>
            <w:r w:rsidR="00565343">
              <w:rPr>
                <w:rFonts w:ascii="Avenir Next LT Pro" w:eastAsia="Arial" w:hAnsi="Avenir Next LT Pro" w:cs="Arial"/>
                <w:sz w:val="22"/>
                <w:szCs w:val="22"/>
              </w:rPr>
              <w:t>technologies are used to improve outcomes.</w:t>
            </w:r>
          </w:p>
          <w:p w14:paraId="0F49425C" w14:textId="11E4C141" w:rsidR="009F553F" w:rsidRDefault="00565343" w:rsidP="009F553F">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Provide communications </w:t>
            </w:r>
            <w:r w:rsidR="009F553F">
              <w:rPr>
                <w:rFonts w:ascii="Avenir Next LT Pro" w:eastAsia="Arial" w:hAnsi="Avenir Next LT Pro" w:cs="Arial"/>
                <w:sz w:val="22"/>
                <w:szCs w:val="22"/>
              </w:rPr>
              <w:t>support to Trust schools and local digital leads, including producing guides, videos and resources under the direction of the Head of Innovation.</w:t>
            </w:r>
          </w:p>
          <w:p w14:paraId="3588D4DB" w14:textId="1213430C" w:rsidR="009F553F" w:rsidRPr="00A95F28" w:rsidRDefault="000250B9" w:rsidP="009F553F">
            <w:pPr>
              <w:pStyle w:val="ListParagraph"/>
              <w:numPr>
                <w:ilvl w:val="0"/>
                <w:numId w:val="3"/>
              </w:numPr>
              <w:rPr>
                <w:rFonts w:ascii="Avenir Next LT Pro" w:eastAsia="Arial" w:hAnsi="Avenir Next LT Pro" w:cs="Arial"/>
                <w:sz w:val="22"/>
                <w:szCs w:val="22"/>
              </w:rPr>
            </w:pPr>
            <w:r w:rsidRPr="00A95F28">
              <w:rPr>
                <w:rFonts w:ascii="Avenir Next LT Pro" w:eastAsia="Arial" w:hAnsi="Avenir Next LT Pro" w:cs="Arial"/>
                <w:sz w:val="22"/>
                <w:szCs w:val="22"/>
              </w:rPr>
              <w:t>Promote and support the Trust Digital professional learning offer by managing communications, advertising opportunities, sharing success stories</w:t>
            </w:r>
            <w:r w:rsidR="00A95F28" w:rsidRPr="00A95F28">
              <w:rPr>
                <w:rFonts w:ascii="Avenir Next LT Pro" w:eastAsia="Arial" w:hAnsi="Avenir Next LT Pro" w:cs="Arial"/>
                <w:sz w:val="22"/>
                <w:szCs w:val="22"/>
              </w:rPr>
              <w:t>, managing sign-ups and producing supporting materials.</w:t>
            </w:r>
          </w:p>
          <w:p w14:paraId="6AC3E6E7" w14:textId="0DB652D9" w:rsidR="003E6CFC" w:rsidRPr="000E0FA1" w:rsidRDefault="00D72FFE" w:rsidP="000E0FA1">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Assist in raising awareness </w:t>
            </w:r>
            <w:r w:rsidR="003E6CFC">
              <w:rPr>
                <w:rFonts w:ascii="Avenir Next LT Pro" w:eastAsia="Arial" w:hAnsi="Avenir Next LT Pro" w:cs="Arial"/>
                <w:sz w:val="22"/>
                <w:szCs w:val="22"/>
              </w:rPr>
              <w:t>and sharing resources about innovative strategies, including the use of AI in education across the Trust.</w:t>
            </w:r>
          </w:p>
          <w:p w14:paraId="716F27D2" w14:textId="77777777" w:rsidR="00304ADB" w:rsidRDefault="00304ADB" w:rsidP="00392610">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Liaise with STOC colleagues, Head </w:t>
            </w:r>
            <w:r w:rsidR="009E7D9A">
              <w:rPr>
                <w:rFonts w:ascii="Avenir Next LT Pro" w:eastAsia="Arial" w:hAnsi="Avenir Next LT Pro" w:cs="Arial"/>
                <w:sz w:val="22"/>
                <w:szCs w:val="22"/>
              </w:rPr>
              <w:t>of IT, and other staff to ensure communications around requests or problems are clear, timely and consistent.</w:t>
            </w:r>
          </w:p>
          <w:p w14:paraId="494EDC25" w14:textId="6D9DC4C5" w:rsidR="009E7D9A" w:rsidRPr="005870F7" w:rsidRDefault="009E7D9A" w:rsidP="00392610">
            <w:pPr>
              <w:pStyle w:val="ListParagraph"/>
              <w:numPr>
                <w:ilvl w:val="0"/>
                <w:numId w:val="3"/>
              </w:numPr>
              <w:rPr>
                <w:rFonts w:ascii="Avenir Next LT Pro" w:eastAsia="Arial" w:hAnsi="Avenir Next LT Pro" w:cs="Arial"/>
                <w:sz w:val="22"/>
                <w:szCs w:val="22"/>
              </w:rPr>
            </w:pPr>
            <w:r w:rsidRPr="005870F7">
              <w:rPr>
                <w:rFonts w:ascii="Avenir Next LT Pro" w:eastAsia="Arial" w:hAnsi="Avenir Next LT Pro" w:cs="Arial"/>
                <w:sz w:val="22"/>
                <w:szCs w:val="22"/>
              </w:rPr>
              <w:t>Assist with the developmen</w:t>
            </w:r>
            <w:r w:rsidR="00255C51" w:rsidRPr="005870F7">
              <w:rPr>
                <w:rFonts w:ascii="Avenir Next LT Pro" w:eastAsia="Arial" w:hAnsi="Avenir Next LT Pro" w:cs="Arial"/>
                <w:sz w:val="22"/>
                <w:szCs w:val="22"/>
              </w:rPr>
              <w:t xml:space="preserve">t and updating of </w:t>
            </w:r>
            <w:r w:rsidR="00297511" w:rsidRPr="005870F7">
              <w:rPr>
                <w:rFonts w:ascii="Avenir Next LT Pro" w:eastAsia="Arial" w:hAnsi="Avenir Next LT Pro" w:cs="Arial"/>
                <w:sz w:val="22"/>
                <w:szCs w:val="22"/>
              </w:rPr>
              <w:t>online learning and communication resources, working alongside the Head of Innovation and key stakeholders</w:t>
            </w:r>
            <w:r w:rsidR="005870F7" w:rsidRPr="005870F7">
              <w:rPr>
                <w:rFonts w:ascii="Avenir Next LT Pro" w:eastAsia="Arial" w:hAnsi="Avenir Next LT Pro" w:cs="Arial"/>
                <w:sz w:val="22"/>
                <w:szCs w:val="22"/>
              </w:rPr>
              <w:t xml:space="preserve">, including </w:t>
            </w:r>
            <w:proofErr w:type="gramStart"/>
            <w:r w:rsidR="005870F7" w:rsidRPr="005870F7">
              <w:rPr>
                <w:rFonts w:ascii="Avenir Next LT Pro" w:eastAsia="Arial" w:hAnsi="Avenir Next LT Pro" w:cs="Arial"/>
                <w:sz w:val="22"/>
                <w:szCs w:val="22"/>
              </w:rPr>
              <w:t>to ensure</w:t>
            </w:r>
            <w:proofErr w:type="gramEnd"/>
            <w:r w:rsidR="005870F7" w:rsidRPr="005870F7">
              <w:rPr>
                <w:rFonts w:ascii="Avenir Next LT Pro" w:eastAsia="Arial" w:hAnsi="Avenir Next LT Pro" w:cs="Arial"/>
                <w:sz w:val="22"/>
                <w:szCs w:val="22"/>
              </w:rPr>
              <w:t xml:space="preserve"> learning and communication resources are current and accessible.</w:t>
            </w:r>
          </w:p>
          <w:p w14:paraId="03861E11" w14:textId="77777777" w:rsidR="00685851" w:rsidRDefault="00C35324" w:rsidP="00685851">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Support the promotion and communication of the STOC Digital Enrichment </w:t>
            </w:r>
            <w:r w:rsidR="00685851">
              <w:rPr>
                <w:rFonts w:ascii="Avenir Next LT Pro" w:eastAsia="Arial" w:hAnsi="Avenir Next LT Pro" w:cs="Arial"/>
                <w:sz w:val="22"/>
                <w:szCs w:val="22"/>
              </w:rPr>
              <w:t>offer across schools and wider audiences.</w:t>
            </w:r>
          </w:p>
          <w:p w14:paraId="1A2AD9FF" w14:textId="141D759D" w:rsidR="00685851" w:rsidRPr="003B14AB" w:rsidRDefault="00685851" w:rsidP="00685851">
            <w:pPr>
              <w:pStyle w:val="ListParagraph"/>
              <w:numPr>
                <w:ilvl w:val="0"/>
                <w:numId w:val="3"/>
              </w:numPr>
              <w:rPr>
                <w:rFonts w:ascii="Avenir Next LT Pro" w:eastAsia="Arial" w:hAnsi="Avenir Next LT Pro" w:cs="Arial"/>
                <w:sz w:val="22"/>
                <w:szCs w:val="22"/>
              </w:rPr>
            </w:pPr>
            <w:r w:rsidRPr="003B14AB">
              <w:rPr>
                <w:rFonts w:ascii="Avenir Next LT Pro" w:eastAsia="Arial" w:hAnsi="Avenir Next LT Pro" w:cs="Arial"/>
                <w:sz w:val="22"/>
                <w:szCs w:val="22"/>
              </w:rPr>
              <w:t xml:space="preserve">Assist in implementing </w:t>
            </w:r>
            <w:r w:rsidR="00D978A3" w:rsidRPr="003B14AB">
              <w:rPr>
                <w:rFonts w:ascii="Avenir Next LT Pro" w:eastAsia="Arial" w:hAnsi="Avenir Next LT Pro" w:cs="Arial"/>
                <w:sz w:val="22"/>
                <w:szCs w:val="22"/>
              </w:rPr>
              <w:t>STOC’s Trust wide Communication Strategy by drafting</w:t>
            </w:r>
            <w:r w:rsidR="003C67A4" w:rsidRPr="003B14AB">
              <w:rPr>
                <w:rFonts w:ascii="Avenir Next LT Pro" w:eastAsia="Arial" w:hAnsi="Avenir Next LT Pro" w:cs="Arial"/>
                <w:sz w:val="22"/>
                <w:szCs w:val="22"/>
              </w:rPr>
              <w:t xml:space="preserve"> enga</w:t>
            </w:r>
            <w:r w:rsidR="003B14AB" w:rsidRPr="003B14AB">
              <w:rPr>
                <w:rFonts w:ascii="Avenir Next LT Pro" w:eastAsia="Arial" w:hAnsi="Avenir Next LT Pro" w:cs="Arial"/>
                <w:sz w:val="22"/>
                <w:szCs w:val="22"/>
              </w:rPr>
              <w:t>g</w:t>
            </w:r>
            <w:r w:rsidR="003C67A4" w:rsidRPr="003B14AB">
              <w:rPr>
                <w:rFonts w:ascii="Avenir Next LT Pro" w:eastAsia="Arial" w:hAnsi="Avenir Next LT Pro" w:cs="Arial"/>
                <w:sz w:val="22"/>
                <w:szCs w:val="22"/>
              </w:rPr>
              <w:t>ing</w:t>
            </w:r>
            <w:r w:rsidR="00D978A3" w:rsidRPr="003B14AB">
              <w:rPr>
                <w:rFonts w:ascii="Avenir Next LT Pro" w:eastAsia="Arial" w:hAnsi="Avenir Next LT Pro" w:cs="Arial"/>
                <w:sz w:val="22"/>
                <w:szCs w:val="22"/>
              </w:rPr>
              <w:t xml:space="preserve"> content, managing channels, and tracking engagement</w:t>
            </w:r>
            <w:r w:rsidR="003C67A4" w:rsidRPr="003B14AB">
              <w:rPr>
                <w:rFonts w:ascii="Avenir Next LT Pro" w:eastAsia="Arial" w:hAnsi="Avenir Next LT Pro" w:cs="Arial"/>
                <w:sz w:val="22"/>
                <w:szCs w:val="22"/>
              </w:rPr>
              <w:t xml:space="preserve">; ensuring </w:t>
            </w:r>
            <w:r w:rsidR="003B14AB" w:rsidRPr="003B14AB">
              <w:rPr>
                <w:rFonts w:ascii="Avenir Next LT Pro" w:eastAsia="Arial" w:hAnsi="Avenir Next LT Pro" w:cs="Arial"/>
                <w:sz w:val="22"/>
                <w:szCs w:val="22"/>
              </w:rPr>
              <w:t>communications are timely and relevant.</w:t>
            </w:r>
          </w:p>
          <w:p w14:paraId="73B8F5AA" w14:textId="0BA8763E" w:rsidR="007D3834" w:rsidRPr="00F87F46" w:rsidRDefault="007D3834" w:rsidP="007D3834">
            <w:pPr>
              <w:pStyle w:val="ListParagraph"/>
              <w:numPr>
                <w:ilvl w:val="0"/>
                <w:numId w:val="3"/>
              </w:numPr>
              <w:rPr>
                <w:rFonts w:ascii="Avenir Next LT Pro" w:eastAsia="Arial" w:hAnsi="Avenir Next LT Pro" w:cs="Arial"/>
                <w:sz w:val="22"/>
                <w:szCs w:val="22"/>
              </w:rPr>
            </w:pPr>
            <w:r w:rsidRPr="00F87F46">
              <w:rPr>
                <w:rFonts w:ascii="Avenir Next LT Pro" w:eastAsia="Arial" w:hAnsi="Avenir Next LT Pro" w:cs="Arial"/>
                <w:sz w:val="22"/>
                <w:szCs w:val="22"/>
              </w:rPr>
              <w:t>Support the Head of Innovation in coordinating internal and external communications, including brand management</w:t>
            </w:r>
            <w:r w:rsidR="00F87F46" w:rsidRPr="00F87F46">
              <w:rPr>
                <w:rFonts w:ascii="Avenir Next LT Pro" w:eastAsia="Arial" w:hAnsi="Avenir Next LT Pro" w:cs="Arial"/>
                <w:sz w:val="22"/>
                <w:szCs w:val="22"/>
              </w:rPr>
              <w:t>, digital content</w:t>
            </w:r>
            <w:r w:rsidRPr="00F87F46">
              <w:rPr>
                <w:rFonts w:ascii="Avenir Next LT Pro" w:eastAsia="Arial" w:hAnsi="Avenir Next LT Pro" w:cs="Arial"/>
                <w:sz w:val="22"/>
                <w:szCs w:val="22"/>
              </w:rPr>
              <w:t xml:space="preserve"> and media relations</w:t>
            </w:r>
            <w:r w:rsidR="00F87F46" w:rsidRPr="00F87F46">
              <w:rPr>
                <w:rFonts w:ascii="Avenir Next LT Pro" w:eastAsia="Arial" w:hAnsi="Avenir Next LT Pro" w:cs="Arial"/>
                <w:sz w:val="22"/>
                <w:szCs w:val="22"/>
              </w:rPr>
              <w:t>.</w:t>
            </w:r>
          </w:p>
          <w:p w14:paraId="01BAF8F7" w14:textId="1BEF3639" w:rsidR="00282E73" w:rsidRDefault="000E0FA1" w:rsidP="007D3834">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Support the delivery of clear, </w:t>
            </w:r>
            <w:r w:rsidR="000C21BB">
              <w:rPr>
                <w:rFonts w:ascii="Avenir Next LT Pro" w:eastAsia="Arial" w:hAnsi="Avenir Next LT Pro" w:cs="Arial"/>
                <w:sz w:val="22"/>
                <w:szCs w:val="22"/>
              </w:rPr>
              <w:t>accessible communications on Online Safety for staff, pupils, and parents.</w:t>
            </w:r>
          </w:p>
          <w:p w14:paraId="0F83AC3E" w14:textId="1A678105" w:rsidR="00311537" w:rsidRDefault="00311537" w:rsidP="007D3834">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Support the collection and presentation </w:t>
            </w:r>
            <w:r w:rsidR="001B28E8">
              <w:rPr>
                <w:rFonts w:ascii="Avenir Next LT Pro" w:eastAsia="Arial" w:hAnsi="Avenir Next LT Pro" w:cs="Arial"/>
                <w:sz w:val="22"/>
                <w:szCs w:val="22"/>
              </w:rPr>
              <w:t>of feedback on the effectiveness of online materials and courses, ensuring results are communicated directly to stakeholders.</w:t>
            </w:r>
          </w:p>
          <w:p w14:paraId="56D26DC6" w14:textId="71B1FA87" w:rsidR="001B28E8" w:rsidRDefault="009E0162" w:rsidP="007D3834">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Contribute to communications that explain improvements to process, technologies, and third-party </w:t>
            </w:r>
            <w:r w:rsidR="00D96EA8">
              <w:rPr>
                <w:rFonts w:ascii="Avenir Next LT Pro" w:eastAsia="Arial" w:hAnsi="Avenir Next LT Pro" w:cs="Arial"/>
                <w:sz w:val="22"/>
                <w:szCs w:val="22"/>
              </w:rPr>
              <w:t>products, supporting the Head of Innovation’s evaluations and recommendations.</w:t>
            </w:r>
          </w:p>
          <w:p w14:paraId="140F0916" w14:textId="59835786" w:rsidR="00D96EA8" w:rsidRDefault="00D96EA8" w:rsidP="007D3834">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lastRenderedPageBreak/>
              <w:t>Work as part of the information function to deliver communication-related KPI’s and objectives.</w:t>
            </w:r>
          </w:p>
          <w:p w14:paraId="129236EF" w14:textId="7BDC909E" w:rsidR="00311DDE" w:rsidRDefault="00311DDE" w:rsidP="00311DDE">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Support the maintenance </w:t>
            </w:r>
            <w:r w:rsidR="00403E95">
              <w:rPr>
                <w:rFonts w:ascii="Avenir Next LT Pro" w:eastAsia="Arial" w:hAnsi="Avenir Next LT Pro" w:cs="Arial"/>
                <w:sz w:val="22"/>
                <w:szCs w:val="22"/>
              </w:rPr>
              <w:t xml:space="preserve">and development of the STOC website and social medica presence, helping </w:t>
            </w:r>
            <w:proofErr w:type="spellStart"/>
            <w:proofErr w:type="gramStart"/>
            <w:r w:rsidR="00403E95">
              <w:rPr>
                <w:rFonts w:ascii="Avenir Next LT Pro" w:eastAsia="Arial" w:hAnsi="Avenir Next LT Pro" w:cs="Arial"/>
                <w:sz w:val="22"/>
                <w:szCs w:val="22"/>
              </w:rPr>
              <w:t>toe</w:t>
            </w:r>
            <w:proofErr w:type="spellEnd"/>
            <w:proofErr w:type="gramEnd"/>
            <w:r w:rsidR="00403E95">
              <w:rPr>
                <w:rFonts w:ascii="Avenir Next LT Pro" w:eastAsia="Arial" w:hAnsi="Avenir Next LT Pro" w:cs="Arial"/>
                <w:sz w:val="22"/>
                <w:szCs w:val="22"/>
              </w:rPr>
              <w:t xml:space="preserve"> ensure the content is fresh, accurate, and engaging.</w:t>
            </w:r>
          </w:p>
          <w:p w14:paraId="712E7CD8" w14:textId="70DEA7EB" w:rsidR="00403E95" w:rsidRDefault="00D550C8" w:rsidP="00311DDE">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Provide day-to-day support in delivering effective communications during official incidents or crises, following agreed procedures and guidance from </w:t>
            </w:r>
            <w:r w:rsidR="009E07CB">
              <w:rPr>
                <w:rFonts w:ascii="Avenir Next LT Pro" w:eastAsia="Arial" w:hAnsi="Avenir Next LT Pro" w:cs="Arial"/>
                <w:sz w:val="22"/>
                <w:szCs w:val="22"/>
              </w:rPr>
              <w:t>the Head of Innovation.</w:t>
            </w:r>
          </w:p>
          <w:p w14:paraId="4B0F3819" w14:textId="552FFF68" w:rsidR="007D3834" w:rsidRPr="007D3834" w:rsidRDefault="007D3834" w:rsidP="008A404E">
            <w:pPr>
              <w:rPr>
                <w:rFonts w:ascii="Avenir Next LT Pro" w:eastAsia="Arial" w:hAnsi="Avenir Next LT Pro" w:cs="Arial"/>
                <w:sz w:val="22"/>
                <w:szCs w:val="22"/>
              </w:rPr>
            </w:pPr>
          </w:p>
        </w:tc>
      </w:tr>
      <w:tr w:rsidR="008907C8" w:rsidRPr="000E342E" w14:paraId="1F47E603"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A6E29D6" w14:textId="4B7AC853" w:rsidR="008907C8" w:rsidRPr="000E342E" w:rsidRDefault="008907C8" w:rsidP="00802CE4">
            <w:pPr>
              <w:jc w:val="center"/>
              <w:rPr>
                <w:rFonts w:ascii="Avenir Next LT Pro" w:eastAsia="Arial" w:hAnsi="Avenir Next LT Pro" w:cs="Arial"/>
                <w:b/>
                <w:bCs/>
                <w:color w:val="FFFFFF" w:themeColor="background1"/>
                <w:sz w:val="22"/>
                <w:szCs w:val="22"/>
              </w:rPr>
            </w:pPr>
            <w:r>
              <w:rPr>
                <w:rFonts w:ascii="Avenir Next LT Pro" w:eastAsia="Arial" w:hAnsi="Avenir Next LT Pro" w:cs="Arial"/>
                <w:b/>
                <w:bCs/>
                <w:color w:val="FFFFFF" w:themeColor="background1"/>
                <w:sz w:val="22"/>
                <w:szCs w:val="22"/>
              </w:rPr>
              <w:lastRenderedPageBreak/>
              <w:t>Professional standards and development</w:t>
            </w:r>
          </w:p>
        </w:tc>
      </w:tr>
      <w:tr w:rsidR="00802CE4" w:rsidRPr="000E342E" w14:paraId="16FF62A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0E342E">
              <w:rPr>
                <w:rStyle w:val="eop"/>
                <w:rFonts w:ascii="Avenir Next LT Pro" w:eastAsia="Arial" w:hAnsi="Avenir Next LT Pro" w:cs="Arial"/>
                <w:color w:val="000000" w:themeColor="text1"/>
                <w:sz w:val="22"/>
                <w:szCs w:val="22"/>
                <w:lang w:val="en-GB"/>
              </w:rPr>
              <w:t> </w:t>
            </w:r>
          </w:p>
          <w:p w14:paraId="421F0C50" w14:textId="4A273C9E"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Be a role model to students through appropriate personal presentation and professional conduct.  </w:t>
            </w:r>
            <w:r w:rsidRPr="000E342E">
              <w:rPr>
                <w:rStyle w:val="eop"/>
                <w:rFonts w:ascii="Avenir Next LT Pro" w:eastAsia="Arial" w:hAnsi="Avenir Next LT Pro" w:cs="Arial"/>
                <w:color w:val="000000" w:themeColor="text1"/>
                <w:sz w:val="22"/>
                <w:szCs w:val="22"/>
                <w:lang w:val="en-GB"/>
              </w:rPr>
              <w:t> </w:t>
            </w:r>
          </w:p>
          <w:p w14:paraId="43A7CB62" w14:textId="491EF072"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 xml:space="preserve">Support all the </w:t>
            </w:r>
            <w:r w:rsidR="00DE1F1C">
              <w:rPr>
                <w:rStyle w:val="normaltextrun"/>
                <w:rFonts w:ascii="Avenir Next LT Pro" w:eastAsia="Arial" w:hAnsi="Avenir Next LT Pro" w:cs="Arial"/>
                <w:color w:val="000000" w:themeColor="text1"/>
                <w:sz w:val="22"/>
                <w:szCs w:val="22"/>
              </w:rPr>
              <w:t>Trust’s</w:t>
            </w:r>
            <w:r w:rsidRPr="000E342E">
              <w:rPr>
                <w:rStyle w:val="normaltextrun"/>
                <w:rFonts w:ascii="Avenir Next LT Pro" w:eastAsia="Arial" w:hAnsi="Avenir Next LT Pro" w:cs="Arial"/>
                <w:color w:val="000000" w:themeColor="text1"/>
                <w:sz w:val="22"/>
                <w:szCs w:val="22"/>
              </w:rPr>
              <w:t xml:space="preserve"> policies and ethos.  </w:t>
            </w:r>
            <w:r w:rsidRPr="000E342E">
              <w:rPr>
                <w:rStyle w:val="eop"/>
                <w:rFonts w:ascii="Avenir Next LT Pro" w:eastAsia="Arial" w:hAnsi="Avenir Next LT Pro" w:cs="Arial"/>
                <w:color w:val="000000" w:themeColor="text1"/>
                <w:sz w:val="22"/>
                <w:szCs w:val="22"/>
                <w:lang w:val="en-GB"/>
              </w:rPr>
              <w:t> </w:t>
            </w:r>
          </w:p>
          <w:p w14:paraId="63ED1CDD" w14:textId="5F3C26E5"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 xml:space="preserve">Establish effective working relationships with professional colleagues both </w:t>
            </w:r>
            <w:r w:rsidR="00242A52">
              <w:rPr>
                <w:rStyle w:val="normaltextrun"/>
                <w:rFonts w:ascii="Avenir Next LT Pro" w:eastAsia="Arial" w:hAnsi="Avenir Next LT Pro" w:cs="Arial"/>
                <w:color w:val="000000" w:themeColor="text1"/>
                <w:sz w:val="22"/>
                <w:szCs w:val="22"/>
              </w:rPr>
              <w:t>at Trust level</w:t>
            </w:r>
            <w:r w:rsidRPr="000E342E">
              <w:rPr>
                <w:rStyle w:val="normaltextrun"/>
                <w:rFonts w:ascii="Avenir Next LT Pro" w:eastAsia="Arial" w:hAnsi="Avenir Next LT Pro" w:cs="Arial"/>
                <w:color w:val="000000" w:themeColor="text1"/>
                <w:sz w:val="22"/>
                <w:szCs w:val="22"/>
              </w:rPr>
              <w:t xml:space="preserve"> and as part of the </w:t>
            </w:r>
            <w:r w:rsidR="00242A52">
              <w:rPr>
                <w:rStyle w:val="normaltextrun"/>
                <w:rFonts w:ascii="Avenir Next LT Pro" w:eastAsia="Arial" w:hAnsi="Avenir Next LT Pro" w:cs="Arial"/>
                <w:color w:val="000000" w:themeColor="text1"/>
                <w:sz w:val="22"/>
                <w:szCs w:val="22"/>
              </w:rPr>
              <w:t>Trust’s</w:t>
            </w:r>
            <w:r w:rsidRPr="000E342E">
              <w:rPr>
                <w:rStyle w:val="normaltextrun"/>
                <w:rFonts w:ascii="Avenir Next LT Pro" w:eastAsia="Arial" w:hAnsi="Avenir Next LT Pro" w:cs="Arial"/>
                <w:color w:val="000000" w:themeColor="text1"/>
                <w:sz w:val="22"/>
                <w:szCs w:val="22"/>
              </w:rPr>
              <w:t xml:space="preserve"> learning community and network. </w:t>
            </w:r>
            <w:r w:rsidRPr="000E342E">
              <w:rPr>
                <w:rStyle w:val="eop"/>
                <w:rFonts w:ascii="Avenir Next LT Pro" w:eastAsia="Arial" w:hAnsi="Avenir Next LT Pro" w:cs="Arial"/>
                <w:color w:val="000000" w:themeColor="text1"/>
                <w:sz w:val="22"/>
                <w:szCs w:val="22"/>
                <w:lang w:val="en-GB"/>
              </w:rPr>
              <w:t> </w:t>
            </w:r>
          </w:p>
          <w:p w14:paraId="460E795A" w14:textId="605AEF41"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 xml:space="preserve">Responsible for the health, safety and welfare of self and colleagues in accordance. with the </w:t>
            </w:r>
            <w:r w:rsidR="00242A52">
              <w:rPr>
                <w:rStyle w:val="normaltextrun"/>
                <w:rFonts w:ascii="Avenir Next LT Pro" w:eastAsia="Arial" w:hAnsi="Avenir Next LT Pro" w:cs="Arial"/>
                <w:color w:val="000000" w:themeColor="text1"/>
                <w:sz w:val="22"/>
                <w:szCs w:val="22"/>
              </w:rPr>
              <w:t>Trust’s</w:t>
            </w:r>
            <w:r w:rsidRPr="000E342E">
              <w:rPr>
                <w:rStyle w:val="normaltextrun"/>
                <w:rFonts w:ascii="Avenir Next LT Pro" w:eastAsia="Arial" w:hAnsi="Avenir Next LT Pro" w:cs="Arial"/>
                <w:color w:val="000000" w:themeColor="text1"/>
                <w:sz w:val="22"/>
                <w:szCs w:val="22"/>
              </w:rPr>
              <w:t xml:space="preserve"> Health and Safety policies and procedures and current legislation.  </w:t>
            </w:r>
            <w:r w:rsidRPr="000E342E">
              <w:rPr>
                <w:rStyle w:val="eop"/>
                <w:rFonts w:ascii="Avenir Next LT Pro" w:eastAsia="Arial" w:hAnsi="Avenir Next LT Pro" w:cs="Arial"/>
                <w:color w:val="000000" w:themeColor="text1"/>
                <w:sz w:val="22"/>
                <w:szCs w:val="22"/>
                <w:lang w:val="en-GB"/>
              </w:rPr>
              <w:t> </w:t>
            </w:r>
          </w:p>
          <w:p w14:paraId="6CE72B6D" w14:textId="026F83A3" w:rsidR="00802CE4" w:rsidRPr="00F87F46" w:rsidRDefault="00802CE4" w:rsidP="00F87F46">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Reflect on own professional practice.  </w:t>
            </w:r>
            <w:r w:rsidRPr="000E342E">
              <w:rPr>
                <w:rStyle w:val="eop"/>
                <w:rFonts w:ascii="Avenir Next LT Pro" w:eastAsia="Arial" w:hAnsi="Avenir Next LT Pro" w:cs="Arial"/>
                <w:color w:val="000000" w:themeColor="text1"/>
                <w:sz w:val="22"/>
                <w:szCs w:val="22"/>
                <w:lang w:val="en-GB"/>
              </w:rPr>
              <w:t> </w:t>
            </w:r>
          </w:p>
          <w:p w14:paraId="4B235426" w14:textId="27460AB6" w:rsidR="00802CE4" w:rsidRPr="000E342E" w:rsidRDefault="00802CE4" w:rsidP="00802CE4">
            <w:pPr>
              <w:rPr>
                <w:rStyle w:val="eop"/>
                <w:rFonts w:ascii="Avenir Next LT Pro" w:hAnsi="Avenir Next LT Pro" w:cs="Arial"/>
                <w:color w:val="000000" w:themeColor="text1"/>
                <w:sz w:val="22"/>
                <w:szCs w:val="22"/>
              </w:rPr>
            </w:pPr>
          </w:p>
        </w:tc>
      </w:tr>
      <w:tr w:rsidR="00802CE4" w:rsidRPr="000E342E" w14:paraId="3DC2EBD6"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B232157" w14:textId="5776074B" w:rsidR="00802CE4" w:rsidRPr="000E342E" w:rsidRDefault="00802CE4" w:rsidP="00802CE4">
            <w:pPr>
              <w:jc w:val="center"/>
              <w:rPr>
                <w:rFonts w:ascii="Avenir Next LT Pro" w:eastAsia="Arial" w:hAnsi="Avenir Next LT Pro" w:cs="Arial"/>
                <w:color w:val="FFFFFF" w:themeColor="background1"/>
                <w:sz w:val="22"/>
                <w:szCs w:val="22"/>
              </w:rPr>
            </w:pPr>
            <w:r w:rsidRPr="000E342E">
              <w:rPr>
                <w:rFonts w:ascii="Avenir Next LT Pro" w:eastAsia="Arial" w:hAnsi="Avenir Next LT Pro" w:cs="Arial"/>
                <w:b/>
                <w:bCs/>
                <w:color w:val="FFFFFF" w:themeColor="background1"/>
                <w:sz w:val="22"/>
                <w:szCs w:val="22"/>
              </w:rPr>
              <w:t>Continuing professional development and formation</w:t>
            </w:r>
          </w:p>
        </w:tc>
      </w:tr>
      <w:tr w:rsidR="00802CE4" w:rsidRPr="000E342E" w14:paraId="7C78AC10" w14:textId="77777777" w:rsidTr="6BBA8662">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802CE4" w:rsidRPr="000E342E" w:rsidRDefault="00802CE4" w:rsidP="009B6EF5">
            <w:pPr>
              <w:pStyle w:val="ListParagraph"/>
              <w:numPr>
                <w:ilvl w:val="0"/>
                <w:numId w:val="2"/>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Undertake any necessary professional development as identified, taking full advantage of any relevant training and development available.</w:t>
            </w:r>
            <w:r w:rsidRPr="000E342E">
              <w:rPr>
                <w:rStyle w:val="normaltextrun"/>
                <w:rFonts w:ascii="Avenir Next LT Pro" w:eastAsia="Arial" w:hAnsi="Avenir Next LT Pro" w:cs="Arial"/>
                <w:color w:val="000000" w:themeColor="text1"/>
                <w:sz w:val="22"/>
                <w:szCs w:val="22"/>
                <w:lang w:val="en-GB"/>
              </w:rPr>
              <w:t>  </w:t>
            </w:r>
          </w:p>
          <w:p w14:paraId="6113214E" w14:textId="1A5415D3" w:rsidR="00802CE4" w:rsidRPr="000E342E" w:rsidRDefault="00802CE4" w:rsidP="009B6EF5">
            <w:pPr>
              <w:pStyle w:val="ListParagraph"/>
              <w:numPr>
                <w:ilvl w:val="0"/>
                <w:numId w:val="2"/>
              </w:numPr>
              <w:shd w:val="clear" w:color="auto" w:fill="FFFFFF" w:themeFill="background1"/>
              <w:spacing w:before="220" w:after="220"/>
              <w:rPr>
                <w:rStyle w:val="normaltextrun"/>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Maintain a professional portfolio of evidence to support the Performance. Management/Appraisal process – evaluating and improving your own practice.</w:t>
            </w:r>
          </w:p>
        </w:tc>
      </w:tr>
      <w:tr w:rsidR="00802CE4" w:rsidRPr="000E342E" w14:paraId="31D1B745"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5F70D9A" w14:textId="7B9F4EE4" w:rsidR="00802CE4" w:rsidRPr="000E342E" w:rsidRDefault="00802CE4" w:rsidP="00802CE4">
            <w:pPr>
              <w:jc w:val="center"/>
              <w:rPr>
                <w:rFonts w:ascii="Avenir Next LT Pro" w:hAnsi="Avenir Next LT Pro" w:cs="Arial"/>
                <w:color w:val="FFFFFF" w:themeColor="background1"/>
                <w:sz w:val="22"/>
                <w:szCs w:val="22"/>
              </w:rPr>
            </w:pPr>
            <w:r w:rsidRPr="000E342E">
              <w:rPr>
                <w:rFonts w:ascii="Avenir Next LT Pro" w:eastAsia="Arial" w:hAnsi="Avenir Next LT Pro" w:cs="Arial"/>
                <w:b/>
                <w:bCs/>
                <w:color w:val="FFFFFF" w:themeColor="background1"/>
                <w:sz w:val="22"/>
                <w:szCs w:val="22"/>
              </w:rPr>
              <w:t>General Responsibilities</w:t>
            </w:r>
          </w:p>
        </w:tc>
      </w:tr>
      <w:tr w:rsidR="00802CE4" w:rsidRPr="000E342E" w14:paraId="1E5AEF20" w14:textId="77777777" w:rsidTr="6BBA8662">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00802CE4" w:rsidRPr="000E342E" w:rsidRDefault="00802CE4" w:rsidP="009B6EF5">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Attend and participate in staff meetings, training, and briefings as appropriate. </w:t>
            </w:r>
          </w:p>
          <w:p w14:paraId="35343144" w14:textId="0B261826" w:rsidR="00802CE4" w:rsidRPr="000E342E" w:rsidRDefault="00802CE4" w:rsidP="009B6EF5">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 xml:space="preserve">Be aware </w:t>
            </w:r>
            <w:proofErr w:type="gramStart"/>
            <w:r w:rsidRPr="000E342E">
              <w:rPr>
                <w:rFonts w:ascii="Avenir Next LT Pro" w:eastAsia="Arial" w:hAnsi="Avenir Next LT Pro" w:cs="Arial"/>
                <w:color w:val="000000" w:themeColor="text1"/>
                <w:sz w:val="22"/>
                <w:szCs w:val="22"/>
              </w:rPr>
              <w:t>of,</w:t>
            </w:r>
            <w:proofErr w:type="gramEnd"/>
            <w:r w:rsidRPr="000E342E">
              <w:rPr>
                <w:rFonts w:ascii="Avenir Next LT Pro" w:eastAsia="Arial" w:hAnsi="Avenir Next LT Pro" w:cs="Arial"/>
                <w:color w:val="000000" w:themeColor="text1"/>
                <w:sz w:val="22"/>
                <w:szCs w:val="22"/>
              </w:rPr>
              <w:t xml:space="preserve"> and comply with all Trust policies and procedures, particularly those relating to child protection, health, safety and security, financial management, confidentiality, and data protection. </w:t>
            </w:r>
          </w:p>
          <w:p w14:paraId="73FB60A3" w14:textId="1F4E40D6" w:rsidR="00802CE4" w:rsidRPr="000E342E" w:rsidRDefault="00802CE4" w:rsidP="009B6EF5">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Contribute to the overall ethos, work, and aims of the Trust. </w:t>
            </w:r>
          </w:p>
          <w:p w14:paraId="1EE366D3" w14:textId="77BD409F" w:rsidR="00802CE4" w:rsidRPr="000E342E" w:rsidRDefault="00802CE4" w:rsidP="009B6EF5">
            <w:pPr>
              <w:pStyle w:val="ListParagraph"/>
              <w:numPr>
                <w:ilvl w:val="0"/>
                <w:numId w:val="1"/>
              </w:numPr>
              <w:spacing w:line="279" w:lineRule="auto"/>
              <w:rPr>
                <w:rFonts w:ascii="Avenir Next LT Pro" w:eastAsia="Aptos" w:hAnsi="Avenir Next LT Pro" w:cs="Aptos"/>
                <w:color w:val="000000" w:themeColor="text1"/>
                <w:sz w:val="22"/>
                <w:szCs w:val="22"/>
              </w:rPr>
            </w:pPr>
            <w:r w:rsidRPr="000E342E">
              <w:rPr>
                <w:rFonts w:ascii="Avenir Next LT Pro" w:eastAsia="Arial" w:hAnsi="Avenir Next LT Pro" w:cs="Arial"/>
                <w:color w:val="000000" w:themeColor="text1"/>
                <w:sz w:val="22"/>
                <w:szCs w:val="22"/>
              </w:rPr>
              <w:t>Commitment to the principle of working collaboratively with other schools within the St Teresa of Calcutta Catholic Academy Trust. </w:t>
            </w:r>
            <w:r w:rsidRPr="000E342E">
              <w:rPr>
                <w:rFonts w:ascii="Avenir Next LT Pro" w:eastAsia="Aptos" w:hAnsi="Avenir Next LT Pro" w:cs="Aptos"/>
                <w:color w:val="000000" w:themeColor="text1"/>
                <w:sz w:val="22"/>
                <w:szCs w:val="22"/>
              </w:rPr>
              <w:t> </w:t>
            </w:r>
          </w:p>
          <w:p w14:paraId="4E48128F" w14:textId="7B605971" w:rsidR="00802CE4" w:rsidRPr="000E342E" w:rsidRDefault="00802CE4" w:rsidP="00802CE4">
            <w:pPr>
              <w:rPr>
                <w:rFonts w:ascii="Avenir Next LT Pro" w:hAnsi="Avenir Next LT Pro" w:cs="Arial"/>
                <w:sz w:val="22"/>
                <w:szCs w:val="22"/>
              </w:rPr>
            </w:pPr>
          </w:p>
        </w:tc>
      </w:tr>
      <w:tr w:rsidR="00802CE4" w:rsidRPr="000E342E" w14:paraId="03E079EE" w14:textId="77777777" w:rsidTr="6BBA8662">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lastRenderedPageBreak/>
              <w:t xml:space="preserve">These duties are neither exclusive nor exhaustive, and the postholder will be required to undertake other duties and </w:t>
            </w:r>
            <w:proofErr w:type="gramStart"/>
            <w:r w:rsidRPr="000E342E">
              <w:rPr>
                <w:rFonts w:ascii="Avenir Next LT Pro" w:eastAsia="Arial" w:hAnsi="Avenir Next LT Pro" w:cs="Arial"/>
                <w:i/>
                <w:iCs/>
                <w:color w:val="000000" w:themeColor="text1"/>
                <w:sz w:val="22"/>
                <w:szCs w:val="22"/>
              </w:rPr>
              <w:t>responsibilities, which</w:t>
            </w:r>
            <w:proofErr w:type="gramEnd"/>
            <w:r w:rsidRPr="000E342E">
              <w:rPr>
                <w:rFonts w:ascii="Avenir Next LT Pro" w:eastAsia="Arial" w:hAnsi="Avenir Next LT Pro" w:cs="Arial"/>
                <w:i/>
                <w:iCs/>
                <w:color w:val="000000" w:themeColor="text1"/>
                <w:sz w:val="22"/>
                <w:szCs w:val="22"/>
              </w:rPr>
              <w:t xml:space="preserve"> the Trust may determine. Please note that </w:t>
            </w:r>
            <w:proofErr w:type="gramStart"/>
            <w:r w:rsidRPr="000E342E">
              <w:rPr>
                <w:rFonts w:ascii="Avenir Next LT Pro" w:eastAsia="Arial" w:hAnsi="Avenir Next LT Pro" w:cs="Arial"/>
                <w:i/>
                <w:iCs/>
                <w:color w:val="000000" w:themeColor="text1"/>
                <w:sz w:val="22"/>
                <w:szCs w:val="22"/>
              </w:rPr>
              <w:t>the</w:t>
            </w:r>
            <w:proofErr w:type="gramEnd"/>
            <w:r w:rsidRPr="000E342E">
              <w:rPr>
                <w:rFonts w:ascii="Avenir Next LT Pro" w:eastAsia="Arial" w:hAnsi="Avenir Next LT Pro" w:cs="Arial"/>
                <w:i/>
                <w:iCs/>
                <w:color w:val="000000" w:themeColor="text1"/>
                <w:sz w:val="22"/>
                <w:szCs w:val="22"/>
              </w:rPr>
              <w:t xml:space="preserve"> successful applicant will be required to comply with all Trust Policies. </w:t>
            </w:r>
          </w:p>
          <w:p w14:paraId="2FF7D137"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 xml:space="preserve"> </w:t>
            </w:r>
          </w:p>
          <w:p w14:paraId="5121E62C"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 xml:space="preserve"> </w:t>
            </w:r>
          </w:p>
          <w:p w14:paraId="2B48327A"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802CE4" w:rsidRPr="000E342E" w:rsidRDefault="00802CE4" w:rsidP="00802CE4">
            <w:pPr>
              <w:rPr>
                <w:rFonts w:ascii="Avenir Next LT Pro" w:eastAsia="Arial" w:hAnsi="Avenir Next LT Pro" w:cs="Arial"/>
                <w:i/>
                <w:iCs/>
                <w:color w:val="000000" w:themeColor="text1"/>
                <w:sz w:val="22"/>
                <w:szCs w:val="22"/>
              </w:rPr>
            </w:pPr>
          </w:p>
          <w:p w14:paraId="2FC72BC3" w14:textId="77777777" w:rsidR="00802CE4" w:rsidRPr="00D531CA" w:rsidRDefault="00802CE4" w:rsidP="00802CE4">
            <w:pPr>
              <w:jc w:val="both"/>
              <w:rPr>
                <w:rFonts w:ascii="Avenir Next LT Pro" w:hAnsi="Avenir Next LT Pro"/>
                <w:sz w:val="22"/>
                <w:szCs w:val="22"/>
              </w:rPr>
            </w:pPr>
            <w:r w:rsidRPr="00D531CA">
              <w:rPr>
                <w:rFonts w:ascii="Avenir Next LT Pro" w:eastAsia="Arial" w:hAnsi="Avenir Next LT Pro" w:cs="Arial"/>
                <w:i/>
                <w:iCs/>
                <w:color w:val="000000" w:themeColor="text1"/>
                <w:sz w:val="22"/>
                <w:szCs w:val="22"/>
                <w:lang w:val="en-GB"/>
              </w:rPr>
              <w:t>The Trust is committed to welcoming individuals regardless of age, disability, ethnicity, faith, gender identity, sexual orientation</w:t>
            </w:r>
            <w:r>
              <w:rPr>
                <w:rFonts w:ascii="Avenir Next LT Pro" w:eastAsia="Arial" w:hAnsi="Avenir Next LT Pro" w:cs="Arial"/>
                <w:i/>
                <w:iCs/>
                <w:color w:val="000000" w:themeColor="text1"/>
                <w:sz w:val="22"/>
                <w:szCs w:val="22"/>
                <w:lang w:val="en-GB"/>
              </w:rPr>
              <w:t>,</w:t>
            </w:r>
            <w:r w:rsidRPr="00D531CA">
              <w:rPr>
                <w:rFonts w:ascii="Avenir Next LT Pro" w:eastAsia="Arial" w:hAnsi="Avenir Next LT Pro" w:cs="Arial"/>
                <w:i/>
                <w:iCs/>
                <w:color w:val="000000" w:themeColor="text1"/>
                <w:sz w:val="22"/>
                <w:szCs w:val="22"/>
                <w:lang w:val="en-GB"/>
              </w:rPr>
              <w:t xml:space="preserve"> marital </w:t>
            </w:r>
            <w:proofErr w:type="gramStart"/>
            <w:r w:rsidRPr="00D531CA">
              <w:rPr>
                <w:rFonts w:ascii="Avenir Next LT Pro" w:eastAsia="Arial" w:hAnsi="Avenir Next LT Pro" w:cs="Arial"/>
                <w:i/>
                <w:iCs/>
                <w:color w:val="000000" w:themeColor="text1"/>
                <w:sz w:val="22"/>
                <w:szCs w:val="22"/>
                <w:lang w:val="en-GB"/>
              </w:rPr>
              <w:t>status</w:t>
            </w:r>
            <w:proofErr w:type="gramEnd"/>
            <w:r>
              <w:rPr>
                <w:rFonts w:ascii="Avenir Next LT Pro" w:eastAsia="Arial" w:hAnsi="Avenir Next LT Pro" w:cs="Arial"/>
                <w:i/>
                <w:iCs/>
                <w:color w:val="000000" w:themeColor="text1"/>
                <w:sz w:val="22"/>
                <w:szCs w:val="22"/>
                <w:lang w:val="en-GB"/>
              </w:rPr>
              <w:t xml:space="preserve"> or socio-economic background</w:t>
            </w:r>
            <w:r w:rsidRPr="00D531CA">
              <w:rPr>
                <w:rFonts w:ascii="Avenir Next LT Pro" w:eastAsia="Arial" w:hAnsi="Avenir Next LT Pro" w:cs="Arial"/>
                <w:i/>
                <w:iCs/>
                <w:color w:val="000000" w:themeColor="text1"/>
                <w:sz w:val="22"/>
                <w:szCs w:val="22"/>
                <w:lang w:val="en-GB"/>
              </w:rPr>
              <w:t xml:space="preserve"> or whether you are pregnant or on </w:t>
            </w:r>
            <w:r>
              <w:rPr>
                <w:rFonts w:ascii="Avenir Next LT Pro" w:eastAsia="Arial" w:hAnsi="Avenir Next LT Pro" w:cs="Arial"/>
                <w:i/>
                <w:iCs/>
                <w:color w:val="000000" w:themeColor="text1"/>
                <w:sz w:val="22"/>
                <w:szCs w:val="22"/>
                <w:lang w:val="en-GB"/>
              </w:rPr>
              <w:t xml:space="preserve">maternity, adoption, </w:t>
            </w:r>
            <w:proofErr w:type="gramStart"/>
            <w:r w:rsidRPr="00D531CA">
              <w:rPr>
                <w:rFonts w:ascii="Avenir Next LT Pro" w:eastAsia="Arial" w:hAnsi="Avenir Next LT Pro" w:cs="Arial"/>
                <w:i/>
                <w:iCs/>
                <w:color w:val="000000" w:themeColor="text1"/>
                <w:sz w:val="22"/>
                <w:szCs w:val="22"/>
                <w:lang w:val="en-GB"/>
              </w:rPr>
              <w:t>parental</w:t>
            </w:r>
            <w:proofErr w:type="gramEnd"/>
            <w:r>
              <w:rPr>
                <w:rFonts w:ascii="Avenir Next LT Pro" w:eastAsia="Arial" w:hAnsi="Avenir Next LT Pro" w:cs="Arial"/>
                <w:i/>
                <w:iCs/>
                <w:color w:val="000000" w:themeColor="text1"/>
                <w:sz w:val="22"/>
                <w:szCs w:val="22"/>
                <w:lang w:val="en-GB"/>
              </w:rPr>
              <w:t xml:space="preserve"> or other family</w:t>
            </w:r>
            <w:r w:rsidRPr="00D531CA">
              <w:rPr>
                <w:rFonts w:ascii="Avenir Next LT Pro" w:eastAsia="Arial" w:hAnsi="Avenir Next LT Pro" w:cs="Arial"/>
                <w:i/>
                <w:iCs/>
                <w:color w:val="000000" w:themeColor="text1"/>
                <w:sz w:val="22"/>
                <w:szCs w:val="22"/>
                <w:lang w:val="en-GB"/>
              </w:rPr>
              <w:t xml:space="preserve"> leave. We welcome applicants from all communities and from people that identify with those characteristics</w:t>
            </w:r>
            <w:proofErr w:type="gramStart"/>
            <w:r w:rsidRPr="00D531CA">
              <w:rPr>
                <w:rFonts w:ascii="Avenir Next LT Pro" w:eastAsia="Arial" w:hAnsi="Avenir Next LT Pro" w:cs="Arial"/>
                <w:i/>
                <w:iCs/>
                <w:color w:val="000000" w:themeColor="text1"/>
                <w:sz w:val="22"/>
                <w:szCs w:val="22"/>
                <w:lang w:val="en-GB"/>
              </w:rPr>
              <w:t xml:space="preserve">.  </w:t>
            </w:r>
            <w:proofErr w:type="gramEnd"/>
            <w:r w:rsidRPr="00D531CA">
              <w:rPr>
                <w:rFonts w:ascii="Avenir Next LT Pro" w:eastAsia="Arial" w:hAnsi="Avenir Next LT Pro" w:cs="Arial"/>
                <w:sz w:val="22"/>
                <w:szCs w:val="22"/>
              </w:rPr>
              <w:t xml:space="preserve"> </w:t>
            </w:r>
          </w:p>
          <w:p w14:paraId="22326F31" w14:textId="0853E315" w:rsidR="00802CE4" w:rsidRPr="00960DF7" w:rsidRDefault="00802CE4" w:rsidP="00802CE4">
            <w:pPr>
              <w:rPr>
                <w:rFonts w:ascii="Avenir Next LT Pro" w:eastAsia="Arial" w:hAnsi="Avenir Next LT Pro" w:cs="Arial"/>
                <w:i/>
                <w:iCs/>
                <w:color w:val="000000" w:themeColor="text1"/>
                <w:sz w:val="22"/>
                <w:szCs w:val="22"/>
              </w:rPr>
            </w:pPr>
          </w:p>
        </w:tc>
      </w:tr>
    </w:tbl>
    <w:p w14:paraId="49F6AB09" w14:textId="5B1EB230" w:rsidR="17E65116" w:rsidRPr="000E342E" w:rsidRDefault="17E65116" w:rsidP="76D119F3">
      <w:pPr>
        <w:rPr>
          <w:rFonts w:ascii="Avenir Next LT Pro" w:hAnsi="Avenir Next LT Pro"/>
          <w:sz w:val="22"/>
          <w:szCs w:val="22"/>
        </w:rPr>
      </w:pPr>
    </w:p>
    <w:p w14:paraId="122C73DD" w14:textId="77777777" w:rsidR="00D921BA" w:rsidRPr="000E342E" w:rsidRDefault="00D921BA" w:rsidP="76D119F3">
      <w:pPr>
        <w:rPr>
          <w:rFonts w:ascii="Avenir Next LT Pro" w:hAnsi="Avenir Next LT Pro"/>
          <w:sz w:val="22"/>
          <w:szCs w:val="22"/>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0E342E" w14:paraId="28A8E942" w14:textId="77777777" w:rsidTr="000E342E">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6F2346" w14:textId="692382C3" w:rsidR="00DC43A5" w:rsidRPr="000E342E" w:rsidRDefault="00DC43A5" w:rsidP="00796146">
            <w:pPr>
              <w:spacing w:after="0"/>
              <w:ind w:left="60"/>
              <w:jc w:val="center"/>
              <w:rPr>
                <w:rFonts w:ascii="Avenir Next LT Pro" w:eastAsia="Arial" w:hAnsi="Avenir Next LT Pro" w:cs="Arial"/>
                <w:b/>
                <w:bCs/>
                <w:sz w:val="22"/>
                <w:szCs w:val="22"/>
              </w:rPr>
            </w:pPr>
            <w:r w:rsidRPr="000E342E">
              <w:rPr>
                <w:rFonts w:ascii="Avenir Next LT Pro" w:eastAsia="Times New Roman" w:hAnsi="Avenir Next LT Pro" w:cs="Arial"/>
                <w:b/>
                <w:bCs/>
                <w:sz w:val="22"/>
                <w:szCs w:val="22"/>
              </w:rPr>
              <w:t>Person Specification</w:t>
            </w:r>
          </w:p>
        </w:tc>
      </w:tr>
      <w:tr w:rsidR="00D90F57" w:rsidRPr="000E342E" w14:paraId="2F966452" w14:textId="77777777" w:rsidTr="000E342E">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719D0359" w14:textId="2E5FB503" w:rsidR="00D90F57" w:rsidRPr="000E342E" w:rsidRDefault="00D90F57" w:rsidP="00765C4A">
            <w:pPr>
              <w:pStyle w:val="paragraph"/>
              <w:spacing w:before="0" w:beforeAutospacing="0" w:after="0" w:afterAutospacing="0"/>
              <w:textAlignment w:val="baseline"/>
              <w:rPr>
                <w:rFonts w:ascii="Avenir Next LT Pro" w:hAnsi="Avenir Next LT Pro" w:cs="Arial"/>
                <w:sz w:val="22"/>
                <w:szCs w:val="22"/>
              </w:rPr>
            </w:pPr>
            <w:r w:rsidRPr="000E342E">
              <w:rPr>
                <w:rStyle w:val="normaltextrun"/>
                <w:rFonts w:ascii="Avenir Next LT Pro" w:eastAsiaTheme="majorEastAsia" w:hAnsi="Avenir Next LT Pro" w:cs="Arial"/>
                <w:b/>
                <w:bCs/>
                <w:sz w:val="22"/>
                <w:szCs w:val="22"/>
              </w:rPr>
              <w:t>Key</w:t>
            </w:r>
            <w:r w:rsidRPr="000E342E">
              <w:rPr>
                <w:rStyle w:val="eop"/>
                <w:rFonts w:ascii="Avenir Next LT Pro" w:eastAsiaTheme="majorEastAsia" w:hAnsi="Avenir Next LT Pro" w:cs="Arial"/>
                <w:sz w:val="22"/>
                <w:szCs w:val="22"/>
              </w:rPr>
              <w:t> </w:t>
            </w:r>
            <w:r w:rsidRPr="000E342E">
              <w:rPr>
                <w:rStyle w:val="normaltextrun"/>
                <w:rFonts w:ascii="Avenir Next LT Pro" w:eastAsiaTheme="majorEastAsia" w:hAnsi="Avenir Next LT Pro" w:cs="Arial"/>
                <w:b/>
                <w:bCs/>
                <w:sz w:val="22"/>
                <w:szCs w:val="22"/>
              </w:rPr>
              <w:t>E</w:t>
            </w:r>
            <w:r w:rsidRPr="000E342E">
              <w:rPr>
                <w:rStyle w:val="normaltextrun"/>
                <w:rFonts w:ascii="Avenir Next LT Pro" w:eastAsiaTheme="majorEastAsia" w:hAnsi="Avenir Next LT Pro" w:cs="Arial"/>
                <w:sz w:val="22"/>
                <w:szCs w:val="22"/>
              </w:rPr>
              <w:t xml:space="preserve"> Essenti</w:t>
            </w:r>
            <w:r w:rsidR="00765C4A" w:rsidRPr="000E342E">
              <w:rPr>
                <w:rStyle w:val="normaltextrun"/>
                <w:rFonts w:ascii="Avenir Next LT Pro" w:eastAsiaTheme="majorEastAsia" w:hAnsi="Avenir Next LT Pro" w:cs="Arial"/>
                <w:sz w:val="22"/>
                <w:szCs w:val="22"/>
              </w:rPr>
              <w:t xml:space="preserve">al, </w:t>
            </w:r>
            <w:r w:rsidRPr="000E342E">
              <w:rPr>
                <w:rStyle w:val="normaltextrun"/>
                <w:rFonts w:ascii="Avenir Next LT Pro" w:eastAsiaTheme="majorEastAsia" w:hAnsi="Avenir Next LT Pro" w:cs="Arial"/>
                <w:b/>
                <w:bCs/>
                <w:sz w:val="22"/>
                <w:szCs w:val="22"/>
              </w:rPr>
              <w:t>R</w:t>
            </w:r>
            <w:r w:rsidRPr="000E342E">
              <w:rPr>
                <w:rStyle w:val="normaltextrun"/>
                <w:rFonts w:ascii="Avenir Next LT Pro" w:eastAsiaTheme="majorEastAsia" w:hAnsi="Avenir Next LT Pro" w:cs="Arial"/>
                <w:sz w:val="22"/>
                <w:szCs w:val="22"/>
              </w:rPr>
              <w:t xml:space="preserve"> References</w:t>
            </w:r>
            <w:r w:rsidR="00765C4A" w:rsidRPr="000E342E">
              <w:rPr>
                <w:rStyle w:val="eop"/>
                <w:rFonts w:ascii="Avenir Next LT Pro" w:eastAsiaTheme="majorEastAsia" w:hAnsi="Avenir Next LT Pro"/>
                <w:sz w:val="22"/>
                <w:szCs w:val="22"/>
              </w:rPr>
              <w:t xml:space="preserve">, </w:t>
            </w:r>
            <w:r w:rsidRPr="000E342E">
              <w:rPr>
                <w:rStyle w:val="normaltextrun"/>
                <w:rFonts w:ascii="Avenir Next LT Pro" w:eastAsiaTheme="majorEastAsia" w:hAnsi="Avenir Next LT Pro" w:cs="Arial"/>
                <w:b/>
                <w:bCs/>
                <w:sz w:val="22"/>
                <w:szCs w:val="22"/>
              </w:rPr>
              <w:t>I</w:t>
            </w:r>
            <w:r w:rsidRPr="000E342E">
              <w:rPr>
                <w:rStyle w:val="normaltextrun"/>
                <w:rFonts w:ascii="Avenir Next LT Pro" w:eastAsiaTheme="majorEastAsia" w:hAnsi="Avenir Next LT Pro" w:cs="Arial"/>
                <w:sz w:val="22"/>
                <w:szCs w:val="22"/>
              </w:rPr>
              <w:t xml:space="preserve"> Interview</w:t>
            </w:r>
            <w:r w:rsidR="00765C4A" w:rsidRPr="000E342E">
              <w:rPr>
                <w:rStyle w:val="normaltextrun"/>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b/>
                <w:bCs/>
                <w:sz w:val="22"/>
                <w:szCs w:val="22"/>
              </w:rPr>
              <w:t>C</w:t>
            </w:r>
            <w:r w:rsidRPr="000E342E">
              <w:rPr>
                <w:rStyle w:val="normaltextrun"/>
                <w:rFonts w:ascii="Avenir Next LT Pro" w:eastAsiaTheme="majorEastAsia" w:hAnsi="Avenir Next LT Pro" w:cs="Arial"/>
                <w:sz w:val="22"/>
                <w:szCs w:val="22"/>
              </w:rPr>
              <w:t xml:space="preserve"> Certificate</w:t>
            </w:r>
            <w:r w:rsidR="00765C4A" w:rsidRPr="000E342E">
              <w:rPr>
                <w:rStyle w:val="eop"/>
                <w:rFonts w:ascii="Avenir Next LT Pro" w:eastAsiaTheme="majorEastAsia" w:hAnsi="Avenir Next LT Pro"/>
                <w:sz w:val="22"/>
                <w:szCs w:val="22"/>
              </w:rPr>
              <w:t xml:space="preserve">, </w:t>
            </w:r>
            <w:r w:rsidRPr="000E342E">
              <w:rPr>
                <w:rStyle w:val="normaltextrun"/>
                <w:rFonts w:ascii="Avenir Next LT Pro" w:eastAsiaTheme="majorEastAsia" w:hAnsi="Avenir Next LT Pro" w:cs="Arial"/>
                <w:b/>
                <w:bCs/>
                <w:sz w:val="22"/>
                <w:szCs w:val="22"/>
              </w:rPr>
              <w:t>D</w:t>
            </w:r>
            <w:r w:rsidRPr="000E342E">
              <w:rPr>
                <w:rStyle w:val="normaltextrun"/>
                <w:rFonts w:ascii="Avenir Next LT Pro" w:eastAsiaTheme="majorEastAsia" w:hAnsi="Avenir Next LT Pro" w:cs="Arial"/>
                <w:sz w:val="22"/>
                <w:szCs w:val="22"/>
              </w:rPr>
              <w:t xml:space="preserve"> Desirable</w:t>
            </w:r>
            <w:r w:rsidR="00765C4A" w:rsidRPr="000E342E">
              <w:rPr>
                <w:rStyle w:val="eop"/>
                <w:rFonts w:ascii="Avenir Next LT Pro" w:eastAsiaTheme="majorEastAsia" w:hAnsi="Avenir Next LT Pro" w:cs="Arial"/>
                <w:sz w:val="22"/>
                <w:szCs w:val="22"/>
              </w:rPr>
              <w:t xml:space="preserve">, </w:t>
            </w:r>
            <w:proofErr w:type="spellStart"/>
            <w:proofErr w:type="gramStart"/>
            <w:r w:rsidRPr="000E342E">
              <w:rPr>
                <w:rStyle w:val="normaltextrun"/>
                <w:rFonts w:ascii="Avenir Next LT Pro" w:eastAsiaTheme="majorEastAsia" w:hAnsi="Avenir Next LT Pro" w:cs="Arial"/>
                <w:b/>
                <w:bCs/>
                <w:sz w:val="22"/>
                <w:szCs w:val="22"/>
              </w:rPr>
              <w:t>A</w:t>
            </w:r>
            <w:proofErr w:type="spellEnd"/>
            <w:proofErr w:type="gramEnd"/>
            <w:r w:rsidRPr="000E342E">
              <w:rPr>
                <w:rStyle w:val="normaltextrun"/>
                <w:rFonts w:ascii="Avenir Next LT Pro" w:eastAsiaTheme="majorEastAsia" w:hAnsi="Avenir Next LT Pro" w:cs="Arial"/>
                <w:sz w:val="22"/>
                <w:szCs w:val="22"/>
              </w:rPr>
              <w:t xml:space="preserve"> Application</w:t>
            </w:r>
            <w:r w:rsidRPr="000E342E">
              <w:rPr>
                <w:rStyle w:val="eop"/>
                <w:rFonts w:ascii="Avenir Next LT Pro" w:eastAsiaTheme="majorEastAsia" w:hAnsi="Avenir Next LT Pro" w:cs="Arial"/>
                <w:sz w:val="22"/>
                <w:szCs w:val="22"/>
              </w:rPr>
              <w:t> </w:t>
            </w:r>
          </w:p>
        </w:tc>
      </w:tr>
      <w:tr w:rsidR="00765C4A" w:rsidRPr="000E342E" w14:paraId="2716387D" w14:textId="77777777" w:rsidTr="000E342E">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353656"/>
          </w:tcPr>
          <w:p w14:paraId="7CC1D4A6" w14:textId="04405A8E" w:rsidR="00765C4A" w:rsidRPr="000E342E" w:rsidRDefault="00765C4A" w:rsidP="17E65116">
            <w:pPr>
              <w:spacing w:after="0"/>
              <w:rPr>
                <w:rFonts w:ascii="Avenir Next LT Pro" w:hAnsi="Avenir Next LT Pro" w:cs="Arial"/>
                <w:sz w:val="22"/>
                <w:szCs w:val="22"/>
              </w:rPr>
            </w:pPr>
            <w:r w:rsidRPr="000E342E">
              <w:rPr>
                <w:rFonts w:ascii="Avenir Next LT Pro" w:eastAsia="Times New Roman" w:hAnsi="Avenir Next LT Pro"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353656"/>
          </w:tcPr>
          <w:p w14:paraId="7BD361EC" w14:textId="191819E1" w:rsidR="00765C4A" w:rsidRPr="000E342E" w:rsidRDefault="00765C4A" w:rsidP="17E65116">
            <w:pPr>
              <w:spacing w:after="0"/>
              <w:ind w:left="60" w:right="195"/>
              <w:rPr>
                <w:rFonts w:ascii="Avenir Next LT Pro" w:hAnsi="Avenir Next LT Pro" w:cs="Arial"/>
                <w:sz w:val="22"/>
                <w:szCs w:val="22"/>
              </w:rPr>
            </w:pPr>
            <w:r w:rsidRPr="000E342E">
              <w:rPr>
                <w:rFonts w:ascii="Avenir Next LT Pro" w:eastAsia="Arial" w:hAnsi="Avenir Next LT Pro" w:cs="Arial"/>
                <w:b/>
                <w:bCs/>
                <w:sz w:val="22"/>
                <w:szCs w:val="22"/>
              </w:rPr>
              <w:t>Essential / desirable</w:t>
            </w:r>
            <w:r w:rsidRPr="000E342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353656"/>
          </w:tcPr>
          <w:p w14:paraId="7489B770" w14:textId="05E2A0FA" w:rsidR="00765C4A" w:rsidRPr="000E342E" w:rsidRDefault="00765C4A" w:rsidP="17E65116">
            <w:pPr>
              <w:spacing w:after="0"/>
              <w:ind w:left="60"/>
              <w:rPr>
                <w:rFonts w:ascii="Avenir Next LT Pro" w:hAnsi="Avenir Next LT Pro" w:cs="Arial"/>
                <w:sz w:val="22"/>
                <w:szCs w:val="22"/>
              </w:rPr>
            </w:pPr>
            <w:r w:rsidRPr="000E342E">
              <w:rPr>
                <w:rFonts w:ascii="Avenir Next LT Pro" w:eastAsia="Arial" w:hAnsi="Avenir Next LT Pro" w:cs="Arial"/>
                <w:b/>
                <w:bCs/>
                <w:sz w:val="22"/>
                <w:szCs w:val="22"/>
              </w:rPr>
              <w:t>Evidence</w:t>
            </w:r>
            <w:r w:rsidRPr="000E342E">
              <w:rPr>
                <w:rFonts w:ascii="Avenir Next LT Pro" w:eastAsia="Arial" w:hAnsi="Avenir Next LT Pro" w:cs="Arial"/>
                <w:sz w:val="22"/>
                <w:szCs w:val="22"/>
              </w:rPr>
              <w:t xml:space="preserve"> </w:t>
            </w:r>
          </w:p>
        </w:tc>
      </w:tr>
      <w:tr w:rsidR="00765C4A" w:rsidRPr="000E342E" w14:paraId="06EA6AA9" w14:textId="77777777" w:rsidTr="000E342E">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65C9B9D1" w14:textId="33DE9B3B" w:rsidR="00765C4A" w:rsidRPr="000E342E" w:rsidRDefault="00765C4A" w:rsidP="00BB237B">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Qualifications</w:t>
            </w:r>
          </w:p>
        </w:tc>
      </w:tr>
      <w:tr w:rsidR="006D126E" w:rsidRPr="000E342E" w14:paraId="5E639E86" w14:textId="77777777" w:rsidTr="5CF785E3">
        <w:trPr>
          <w:trHeight w:val="250"/>
        </w:trPr>
        <w:tc>
          <w:tcPr>
            <w:tcW w:w="5944" w:type="dxa"/>
            <w:tcBorders>
              <w:top w:val="single" w:sz="8" w:space="0" w:color="auto"/>
              <w:left w:val="single" w:sz="8" w:space="0" w:color="auto"/>
              <w:bottom w:val="single" w:sz="8" w:space="0" w:color="auto"/>
              <w:right w:val="single" w:sz="8" w:space="0" w:color="auto"/>
            </w:tcBorders>
          </w:tcPr>
          <w:p w14:paraId="32D08D64" w14:textId="2EC56FA5" w:rsidR="006D126E" w:rsidRDefault="006D126E" w:rsidP="00AA792E">
            <w:pPr>
              <w:spacing w:after="0"/>
              <w:rPr>
                <w:rFonts w:ascii="Avenir Next LT Pro" w:eastAsia="Times New Roman" w:hAnsi="Avenir Next LT Pro" w:cs="Arial"/>
                <w:sz w:val="22"/>
                <w:szCs w:val="22"/>
                <w:lang w:val="en-GB" w:eastAsia="en-GB"/>
              </w:rPr>
            </w:pPr>
            <w:r w:rsidRPr="00B8486F">
              <w:rPr>
                <w:rFonts w:ascii="Avenir Next LT Pro" w:eastAsia="Arial" w:hAnsi="Avenir Next LT Pro" w:cs="Arial"/>
                <w:color w:val="000000" w:themeColor="text1"/>
                <w:sz w:val="22"/>
                <w:szCs w:val="22"/>
                <w:lang w:val="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05CD0F3F" w14:textId="513946AC" w:rsidR="006D126E" w:rsidRDefault="006D126E"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26CE962A" w14:textId="39B6F965" w:rsidR="006D126E" w:rsidRPr="001B65A5" w:rsidRDefault="006D126E"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AA792E" w:rsidRPr="000E342E" w14:paraId="4E0362EE"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572350F7" w:rsidR="00AA792E" w:rsidRPr="000E342E" w:rsidRDefault="004B173B"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Evidence of commitment to updating knowledge through regular continuing professional development</w:t>
            </w:r>
          </w:p>
        </w:tc>
        <w:tc>
          <w:tcPr>
            <w:tcW w:w="1701" w:type="dxa"/>
            <w:tcBorders>
              <w:top w:val="single" w:sz="8" w:space="0" w:color="auto"/>
              <w:left w:val="single" w:sz="8" w:space="0" w:color="auto"/>
              <w:bottom w:val="single" w:sz="8" w:space="0" w:color="auto"/>
              <w:right w:val="single" w:sz="8" w:space="0" w:color="auto"/>
            </w:tcBorders>
          </w:tcPr>
          <w:p w14:paraId="61657398" w14:textId="28AD8954" w:rsidR="00AA792E" w:rsidRPr="000E342E" w:rsidRDefault="00E73E21"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64D36BB7" w14:textId="72E8F018"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1D0F98" w:rsidRPr="000E342E" w14:paraId="731DDA10"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32262E3C" w14:textId="03EC5D0C" w:rsidR="001D0F98" w:rsidRDefault="005C1D57"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Educated to degree level in relevant subject or equivalent knowledge acquired through experience</w:t>
            </w:r>
          </w:p>
        </w:tc>
        <w:tc>
          <w:tcPr>
            <w:tcW w:w="1701" w:type="dxa"/>
            <w:tcBorders>
              <w:top w:val="single" w:sz="8" w:space="0" w:color="auto"/>
              <w:left w:val="single" w:sz="8" w:space="0" w:color="auto"/>
              <w:bottom w:val="single" w:sz="8" w:space="0" w:color="auto"/>
              <w:right w:val="single" w:sz="8" w:space="0" w:color="auto"/>
            </w:tcBorders>
          </w:tcPr>
          <w:p w14:paraId="7DC87F19" w14:textId="44FF6B61" w:rsidR="001D0F98" w:rsidRDefault="005C1D57"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0FC0D0FB" w14:textId="244FB610" w:rsidR="001D0F98" w:rsidRPr="001B65A5" w:rsidRDefault="005C1D57"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AA792E" w:rsidRPr="000E342E" w14:paraId="48960450" w14:textId="77777777" w:rsidTr="5CF785E3">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29E3DE68" w:rsidR="00AA792E" w:rsidRPr="000E342E" w:rsidRDefault="004B173B"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Further professional development </w:t>
            </w:r>
            <w:r w:rsidR="00E73E21">
              <w:rPr>
                <w:rFonts w:ascii="Avenir Next LT Pro" w:eastAsia="Times New Roman" w:hAnsi="Avenir Next LT Pro" w:cs="Arial"/>
                <w:sz w:val="22"/>
                <w:szCs w:val="22"/>
                <w:lang w:val="en-GB" w:eastAsia="en-GB"/>
              </w:rPr>
              <w:t>in relevant fields</w:t>
            </w:r>
          </w:p>
        </w:tc>
        <w:tc>
          <w:tcPr>
            <w:tcW w:w="1701" w:type="dxa"/>
            <w:tcBorders>
              <w:top w:val="single" w:sz="8" w:space="0" w:color="auto"/>
              <w:left w:val="single" w:sz="8" w:space="0" w:color="auto"/>
              <w:bottom w:val="single" w:sz="8" w:space="0" w:color="auto"/>
              <w:right w:val="single" w:sz="8" w:space="0" w:color="auto"/>
            </w:tcBorders>
          </w:tcPr>
          <w:p w14:paraId="43EC23BE" w14:textId="261792F3" w:rsidR="00AA792E" w:rsidRPr="000E342E" w:rsidRDefault="00E73E21"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7B1A0FD2" w14:textId="6E6DF703"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eastAsia="Arial" w:hAnsi="Avenir Next LT Pro" w:cs="Arial"/>
                <w:color w:val="000000" w:themeColor="text1"/>
                <w:sz w:val="22"/>
                <w:szCs w:val="22"/>
              </w:rPr>
              <w:t>A/I</w:t>
            </w:r>
          </w:p>
        </w:tc>
      </w:tr>
      <w:tr w:rsidR="00AA792E" w:rsidRPr="000E342E" w14:paraId="2C15162E" w14:textId="77777777" w:rsidTr="000E342E">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177CD8B" w14:textId="443BFB46" w:rsidR="00AA792E" w:rsidRPr="000E342E" w:rsidRDefault="00AA792E" w:rsidP="00AA792E">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Knowledge &amp; Experience</w:t>
            </w:r>
          </w:p>
        </w:tc>
      </w:tr>
      <w:tr w:rsidR="00AA792E" w:rsidRPr="000E342E" w14:paraId="3346AB42"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30803050" w:rsidR="00AA792E" w:rsidRPr="000E342E" w:rsidRDefault="009B22E9"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lastRenderedPageBreak/>
              <w:t>Experience of supporting communication and/or marketing activity in an ac</w:t>
            </w:r>
            <w:r w:rsidR="007F0BE1">
              <w:rPr>
                <w:rFonts w:ascii="Avenir Next LT Pro" w:eastAsia="Times New Roman" w:hAnsi="Avenir Next LT Pro" w:cs="Arial"/>
                <w:sz w:val="22"/>
                <w:szCs w:val="22"/>
                <w:lang w:val="en-GB" w:eastAsia="en-GB"/>
              </w:rPr>
              <w:t xml:space="preserve">ademy/school, local authority, education </w:t>
            </w:r>
            <w:proofErr w:type="gramStart"/>
            <w:r w:rsidR="007F0BE1">
              <w:rPr>
                <w:rFonts w:ascii="Avenir Next LT Pro" w:eastAsia="Times New Roman" w:hAnsi="Avenir Next LT Pro" w:cs="Arial"/>
                <w:sz w:val="22"/>
                <w:szCs w:val="22"/>
                <w:lang w:val="en-GB" w:eastAsia="en-GB"/>
              </w:rPr>
              <w:t>trust</w:t>
            </w:r>
            <w:proofErr w:type="gramEnd"/>
            <w:r w:rsidR="007F0BE1">
              <w:rPr>
                <w:rFonts w:ascii="Avenir Next LT Pro" w:eastAsia="Times New Roman" w:hAnsi="Avenir Next LT Pro" w:cs="Arial"/>
                <w:sz w:val="22"/>
                <w:szCs w:val="22"/>
                <w:lang w:val="en-GB" w:eastAsia="en-GB"/>
              </w:rPr>
              <w:t xml:space="preserve"> or similar setting</w:t>
            </w:r>
          </w:p>
        </w:tc>
        <w:tc>
          <w:tcPr>
            <w:tcW w:w="1701" w:type="dxa"/>
            <w:tcBorders>
              <w:top w:val="single" w:sz="8" w:space="0" w:color="auto"/>
              <w:left w:val="single" w:sz="8" w:space="0" w:color="auto"/>
              <w:bottom w:val="single" w:sz="8" w:space="0" w:color="auto"/>
              <w:right w:val="single" w:sz="8" w:space="0" w:color="auto"/>
            </w:tcBorders>
          </w:tcPr>
          <w:p w14:paraId="299F54AD" w14:textId="71B95AD3" w:rsidR="00AA792E" w:rsidRPr="000E342E" w:rsidRDefault="005D15F9"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0E582DDD" w14:textId="7D963D0F"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AA792E" w:rsidRPr="000E342E" w14:paraId="4A6E5B8B"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7B46C7E" w14:textId="5BADDCD7" w:rsidR="00AA792E" w:rsidRPr="000E342E" w:rsidRDefault="00060AB3"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writing, editing, and proofreading</w:t>
            </w:r>
            <w:r w:rsidR="00AB3924">
              <w:rPr>
                <w:rFonts w:ascii="Avenir Next LT Pro" w:eastAsia="Times New Roman" w:hAnsi="Avenir Next LT Pro" w:cs="Arial"/>
                <w:sz w:val="22"/>
                <w:szCs w:val="22"/>
                <w:lang w:val="en-GB" w:eastAsia="en-GB"/>
              </w:rPr>
              <w:t xml:space="preserve"> communications for a range of audiences</w:t>
            </w:r>
          </w:p>
        </w:tc>
        <w:tc>
          <w:tcPr>
            <w:tcW w:w="1701" w:type="dxa"/>
            <w:tcBorders>
              <w:top w:val="single" w:sz="8" w:space="0" w:color="auto"/>
              <w:left w:val="single" w:sz="8" w:space="0" w:color="auto"/>
              <w:bottom w:val="single" w:sz="8" w:space="0" w:color="auto"/>
              <w:right w:val="single" w:sz="8" w:space="0" w:color="auto"/>
            </w:tcBorders>
          </w:tcPr>
          <w:p w14:paraId="6FB2E793" w14:textId="2E61E091" w:rsidR="00AA792E" w:rsidRPr="000E342E" w:rsidRDefault="005D15F9"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3D6AEF62" w14:textId="5165514D"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AA792E" w:rsidRPr="000E342E" w14:paraId="4CA53EC1"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6E013032" w14:textId="74677DC6" w:rsidR="00AA792E" w:rsidRPr="000E342E" w:rsidRDefault="00AB3924"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supporting the organisation and promotion of events and campaigns</w:t>
            </w:r>
          </w:p>
        </w:tc>
        <w:tc>
          <w:tcPr>
            <w:tcW w:w="1701" w:type="dxa"/>
            <w:tcBorders>
              <w:top w:val="single" w:sz="8" w:space="0" w:color="auto"/>
              <w:left w:val="single" w:sz="8" w:space="0" w:color="auto"/>
              <w:bottom w:val="single" w:sz="8" w:space="0" w:color="auto"/>
              <w:right w:val="single" w:sz="8" w:space="0" w:color="auto"/>
            </w:tcBorders>
          </w:tcPr>
          <w:p w14:paraId="3EA2ECF1" w14:textId="6334BBFE" w:rsidR="00AA792E" w:rsidRPr="000E342E" w:rsidRDefault="00563AAB"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4A33E516" w14:textId="77777777" w:rsidR="00AA792E" w:rsidRPr="001B65A5"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0B68C048" w14:textId="77777777"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p>
        </w:tc>
      </w:tr>
      <w:tr w:rsidR="00AA792E" w:rsidRPr="000E342E" w14:paraId="6E1ACBE3"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04434F90" w14:textId="196BA97E" w:rsidR="00AA792E" w:rsidRPr="000E342E" w:rsidRDefault="00943F64"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Previous experience of working within and educational, charitable,</w:t>
            </w:r>
            <w:r w:rsidR="00ED2A5E">
              <w:rPr>
                <w:rFonts w:ascii="Avenir Next LT Pro" w:eastAsia="Times New Roman" w:hAnsi="Avenir Next LT Pro" w:cs="Arial"/>
                <w:sz w:val="22"/>
                <w:szCs w:val="22"/>
                <w:lang w:val="en-GB" w:eastAsia="en-GB"/>
              </w:rPr>
              <w:t xml:space="preserve"> or public sector setting</w:t>
            </w:r>
          </w:p>
        </w:tc>
        <w:tc>
          <w:tcPr>
            <w:tcW w:w="1701" w:type="dxa"/>
            <w:tcBorders>
              <w:top w:val="single" w:sz="8" w:space="0" w:color="auto"/>
              <w:left w:val="single" w:sz="8" w:space="0" w:color="auto"/>
              <w:bottom w:val="single" w:sz="8" w:space="0" w:color="auto"/>
              <w:right w:val="single" w:sz="8" w:space="0" w:color="auto"/>
            </w:tcBorders>
          </w:tcPr>
          <w:p w14:paraId="254FEB6E" w14:textId="36060C14" w:rsidR="00AA792E" w:rsidRPr="000E342E" w:rsidRDefault="00563AAB"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726A7682" w14:textId="77777777" w:rsidR="00AA792E" w:rsidRPr="001B65A5"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0607A392" w14:textId="77777777"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p>
        </w:tc>
      </w:tr>
      <w:tr w:rsidR="00AB3924" w:rsidRPr="000E342E" w14:paraId="0F11917C"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2C45AC4C" w14:textId="07872E72" w:rsidR="00AB3924" w:rsidRPr="000E342E" w:rsidRDefault="00ED2A5E"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maintaining high standard of accuracy, presentation, and brand consistency in communications</w:t>
            </w:r>
          </w:p>
        </w:tc>
        <w:tc>
          <w:tcPr>
            <w:tcW w:w="1701" w:type="dxa"/>
            <w:tcBorders>
              <w:top w:val="single" w:sz="8" w:space="0" w:color="auto"/>
              <w:left w:val="single" w:sz="8" w:space="0" w:color="auto"/>
              <w:bottom w:val="single" w:sz="8" w:space="0" w:color="auto"/>
              <w:right w:val="single" w:sz="8" w:space="0" w:color="auto"/>
            </w:tcBorders>
          </w:tcPr>
          <w:p w14:paraId="07EFBD59" w14:textId="4E58E986" w:rsidR="00AB3924" w:rsidRPr="000E342E" w:rsidRDefault="005D15F9"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133FBBBA" w14:textId="7BB4CA37" w:rsidR="00AB3924" w:rsidRPr="001B65A5" w:rsidRDefault="005D15F9"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w:t>
            </w:r>
            <w:r w:rsidR="001D465E">
              <w:rPr>
                <w:rStyle w:val="normaltextrun"/>
                <w:rFonts w:ascii="Avenir Next LT Pro" w:hAnsi="Avenir Next LT Pro" w:cs="Arial"/>
                <w:color w:val="000000" w:themeColor="text1"/>
                <w:sz w:val="22"/>
                <w:szCs w:val="22"/>
              </w:rPr>
              <w:t>/I</w:t>
            </w:r>
          </w:p>
        </w:tc>
      </w:tr>
      <w:tr w:rsidR="00AB3924" w:rsidRPr="000E342E" w14:paraId="36AAB7E2"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7BBC4EA9" w14:textId="24220D90" w:rsidR="00AB3924" w:rsidRPr="000E342E" w:rsidRDefault="00ED2A5E"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Working knowledge of website content management</w:t>
            </w:r>
            <w:r w:rsidR="00F029C0">
              <w:rPr>
                <w:rFonts w:ascii="Avenir Next LT Pro" w:eastAsia="Times New Roman" w:hAnsi="Avenir Next LT Pro" w:cs="Arial"/>
                <w:sz w:val="22"/>
                <w:szCs w:val="22"/>
                <w:lang w:val="en-GB" w:eastAsia="en-GB"/>
              </w:rPr>
              <w:t xml:space="preserve"> systems and the ability to update and maintain online content</w:t>
            </w:r>
          </w:p>
        </w:tc>
        <w:tc>
          <w:tcPr>
            <w:tcW w:w="1701" w:type="dxa"/>
            <w:tcBorders>
              <w:top w:val="single" w:sz="8" w:space="0" w:color="auto"/>
              <w:left w:val="single" w:sz="8" w:space="0" w:color="auto"/>
              <w:bottom w:val="single" w:sz="8" w:space="0" w:color="auto"/>
              <w:right w:val="single" w:sz="8" w:space="0" w:color="auto"/>
            </w:tcBorders>
          </w:tcPr>
          <w:p w14:paraId="022291B3" w14:textId="1358A75F" w:rsidR="00AB3924" w:rsidRPr="000E342E" w:rsidRDefault="00563AAB"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033C2D83" w14:textId="4710E64F" w:rsidR="00AB3924" w:rsidRPr="001B65A5" w:rsidRDefault="001D465E"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AB3924" w:rsidRPr="000E342E" w14:paraId="6F5C5617"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86DCE16" w14:textId="4937DEF3" w:rsidR="00AB3924" w:rsidRPr="000E342E" w:rsidRDefault="00F029C0"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monitoring engagement data from social media</w:t>
            </w:r>
            <w:r w:rsidR="008C7B25">
              <w:rPr>
                <w:rFonts w:ascii="Avenir Next LT Pro" w:eastAsia="Times New Roman" w:hAnsi="Avenir Next LT Pro" w:cs="Arial"/>
                <w:sz w:val="22"/>
                <w:szCs w:val="22"/>
                <w:lang w:val="en-GB" w:eastAsia="en-GB"/>
              </w:rPr>
              <w:t>, newsletters, or website analytics to support reporting</w:t>
            </w:r>
          </w:p>
        </w:tc>
        <w:tc>
          <w:tcPr>
            <w:tcW w:w="1701" w:type="dxa"/>
            <w:tcBorders>
              <w:top w:val="single" w:sz="8" w:space="0" w:color="auto"/>
              <w:left w:val="single" w:sz="8" w:space="0" w:color="auto"/>
              <w:bottom w:val="single" w:sz="8" w:space="0" w:color="auto"/>
              <w:right w:val="single" w:sz="8" w:space="0" w:color="auto"/>
            </w:tcBorders>
          </w:tcPr>
          <w:p w14:paraId="3787F65D" w14:textId="7641009C" w:rsidR="00AB3924" w:rsidRPr="000E342E" w:rsidRDefault="00F87F46"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7603157D" w14:textId="045F2531" w:rsidR="00AB3924" w:rsidRPr="001B65A5" w:rsidRDefault="001D465E"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8C7B25" w:rsidRPr="000E342E" w14:paraId="65476087"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6385D8BC" w14:textId="39E6A7CE" w:rsidR="008C7B25" w:rsidRDefault="008C7B25"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Ability to manage competing deadlines, prioritise workload, and respond flexibly to changing needs</w:t>
            </w:r>
          </w:p>
        </w:tc>
        <w:tc>
          <w:tcPr>
            <w:tcW w:w="1701" w:type="dxa"/>
            <w:tcBorders>
              <w:top w:val="single" w:sz="8" w:space="0" w:color="auto"/>
              <w:left w:val="single" w:sz="8" w:space="0" w:color="auto"/>
              <w:bottom w:val="single" w:sz="8" w:space="0" w:color="auto"/>
              <w:right w:val="single" w:sz="8" w:space="0" w:color="auto"/>
            </w:tcBorders>
          </w:tcPr>
          <w:p w14:paraId="20D8858E" w14:textId="6D1BD906" w:rsidR="008C7B25" w:rsidRPr="000E342E" w:rsidRDefault="005D15F9"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2D886996" w14:textId="6A23744F" w:rsidR="008C7B25" w:rsidRPr="001B65A5" w:rsidRDefault="001D465E"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AA792E" w:rsidRPr="000E342E" w14:paraId="39AA8AD3"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3852782D" w:rsidR="00AA792E" w:rsidRPr="000E342E" w:rsidRDefault="00001110"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supporting colleagues with communication tasks and providing guidance where needed</w:t>
            </w:r>
          </w:p>
        </w:tc>
        <w:tc>
          <w:tcPr>
            <w:tcW w:w="1701" w:type="dxa"/>
            <w:tcBorders>
              <w:top w:val="single" w:sz="8" w:space="0" w:color="auto"/>
              <w:left w:val="single" w:sz="8" w:space="0" w:color="auto"/>
              <w:bottom w:val="single" w:sz="8" w:space="0" w:color="auto"/>
              <w:right w:val="single" w:sz="8" w:space="0" w:color="auto"/>
            </w:tcBorders>
          </w:tcPr>
          <w:p w14:paraId="197D5D14" w14:textId="451562DD" w:rsidR="00AA792E" w:rsidRPr="000E342E" w:rsidRDefault="005D15F9"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6F889608" w14:textId="77777777" w:rsidR="00AA792E" w:rsidRPr="001B65A5"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7968845B" w14:textId="4DC62F8E"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p>
        </w:tc>
      </w:tr>
      <w:tr w:rsidR="00AA792E" w:rsidRPr="000E342E" w14:paraId="70D53B9F" w14:textId="77777777" w:rsidTr="000E342E">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F96A218" w14:textId="0A8B9D3B" w:rsidR="00AA792E" w:rsidRPr="000E342E" w:rsidRDefault="00AA792E" w:rsidP="00AA792E">
            <w:pPr>
              <w:spacing w:after="0"/>
              <w:ind w:left="45"/>
              <w:jc w:val="center"/>
              <w:rPr>
                <w:rFonts w:ascii="Avenir Next LT Pro" w:hAnsi="Avenir Next LT Pro" w:cs="Arial"/>
                <w:sz w:val="22"/>
                <w:szCs w:val="22"/>
              </w:rPr>
            </w:pPr>
            <w:r w:rsidRPr="000E342E">
              <w:rPr>
                <w:rFonts w:ascii="Avenir Next LT Pro" w:eastAsia="Arial" w:hAnsi="Avenir Next LT Pro" w:cs="Arial"/>
                <w:b/>
                <w:bCs/>
                <w:sz w:val="22"/>
                <w:szCs w:val="22"/>
              </w:rPr>
              <w:t xml:space="preserve">Technical Skills &amp; Ability </w:t>
            </w:r>
          </w:p>
        </w:tc>
      </w:tr>
      <w:tr w:rsidR="00AA792E" w:rsidRPr="000E342E" w14:paraId="537091C6" w14:textId="77777777" w:rsidTr="5CF785E3">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7CB3C692" w:rsidR="00AA792E" w:rsidRPr="000E342E" w:rsidRDefault="005D15F9"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Proficiency in using Canva (or similar design tools) to produce professional graphics and communication materials</w:t>
            </w:r>
          </w:p>
        </w:tc>
        <w:tc>
          <w:tcPr>
            <w:tcW w:w="1701" w:type="dxa"/>
            <w:tcBorders>
              <w:top w:val="single" w:sz="8" w:space="0" w:color="auto"/>
              <w:left w:val="single" w:sz="8" w:space="0" w:color="auto"/>
              <w:bottom w:val="single" w:sz="8" w:space="0" w:color="auto"/>
              <w:right w:val="single" w:sz="8" w:space="0" w:color="auto"/>
            </w:tcBorders>
          </w:tcPr>
          <w:p w14:paraId="7A59EE01" w14:textId="19A9242A" w:rsidR="00AA792E" w:rsidRPr="000E342E" w:rsidRDefault="005D15F9"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33C88D29" w14:textId="2CEA7901"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7520F2" w:rsidRPr="000E342E" w14:paraId="01CF174A" w14:textId="77777777" w:rsidTr="5CF785E3">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17ADAD0A" w:rsidR="007520F2" w:rsidRPr="000E342E" w:rsidRDefault="005D15F9" w:rsidP="007520F2">
            <w:pPr>
              <w:spacing w:after="0"/>
              <w:rPr>
                <w:rFonts w:ascii="Avenir Next LT Pro" w:eastAsia="Times New Roman" w:hAnsi="Avenir Next LT Pro" w:cs="Arial"/>
                <w:sz w:val="22"/>
                <w:szCs w:val="22"/>
                <w:lang w:val="en-GB" w:eastAsia="en-GB"/>
              </w:rPr>
            </w:pPr>
            <w:r>
              <w:rPr>
                <w:rFonts w:ascii="Avenir Next LT Pro" w:hAnsi="Avenir Next LT Pro" w:cs="Arial"/>
                <w:sz w:val="22"/>
                <w:szCs w:val="22"/>
              </w:rPr>
              <w:t>Good working knowledge of Office 365 applications, including Word, PowerPoint, Excel, and Outlook</w:t>
            </w:r>
          </w:p>
        </w:tc>
        <w:tc>
          <w:tcPr>
            <w:tcW w:w="1701" w:type="dxa"/>
            <w:tcBorders>
              <w:top w:val="single" w:sz="8" w:space="0" w:color="auto"/>
              <w:left w:val="single" w:sz="8" w:space="0" w:color="auto"/>
              <w:bottom w:val="single" w:sz="8" w:space="0" w:color="auto"/>
              <w:right w:val="single" w:sz="8" w:space="0" w:color="auto"/>
            </w:tcBorders>
          </w:tcPr>
          <w:p w14:paraId="1B0625AC" w14:textId="363EA5F2" w:rsidR="007520F2" w:rsidRPr="000E342E" w:rsidRDefault="005D15F9" w:rsidP="007520F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15F8C74C" w14:textId="07851621" w:rsidR="007520F2" w:rsidRPr="000E342E" w:rsidRDefault="007520F2" w:rsidP="007520F2">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7520F2" w:rsidRPr="000E342E" w14:paraId="7EAEDA54" w14:textId="77777777" w:rsidTr="5CF785E3">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2E50A0D9" w:rsidR="007520F2" w:rsidRPr="000E342E" w:rsidRDefault="005D15F9" w:rsidP="007520F2">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creating and maintaining content on SharePoint sites</w:t>
            </w:r>
          </w:p>
        </w:tc>
        <w:tc>
          <w:tcPr>
            <w:tcW w:w="1701" w:type="dxa"/>
            <w:tcBorders>
              <w:top w:val="single" w:sz="8" w:space="0" w:color="auto"/>
              <w:left w:val="single" w:sz="8" w:space="0" w:color="auto"/>
              <w:bottom w:val="single" w:sz="8" w:space="0" w:color="auto"/>
              <w:right w:val="single" w:sz="8" w:space="0" w:color="auto"/>
            </w:tcBorders>
          </w:tcPr>
          <w:p w14:paraId="052776DE" w14:textId="60773396" w:rsidR="007520F2" w:rsidRPr="000E342E" w:rsidRDefault="00563AAB" w:rsidP="007520F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199E90CB" w14:textId="6459DCAF" w:rsidR="007520F2" w:rsidRPr="000E342E" w:rsidRDefault="007520F2" w:rsidP="007520F2">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7520F2" w:rsidRPr="000E342E" w14:paraId="49337E88" w14:textId="77777777" w:rsidTr="000E342E">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44C966C" w14:textId="76F0B035" w:rsidR="007520F2" w:rsidRPr="000E342E" w:rsidRDefault="007520F2" w:rsidP="007520F2">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 xml:space="preserve">Special working conditions </w:t>
            </w:r>
          </w:p>
        </w:tc>
      </w:tr>
      <w:tr w:rsidR="005D15F9" w:rsidRPr="000E342E" w14:paraId="3B9F6A8C" w14:textId="77777777" w:rsidTr="5CF785E3">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23407D6" w:rsidR="005D15F9" w:rsidRPr="000C7C18" w:rsidRDefault="005D15F9" w:rsidP="005D15F9">
            <w:pPr>
              <w:spacing w:after="0"/>
              <w:rPr>
                <w:rFonts w:ascii="Avenir Next LT Pro" w:eastAsia="Times New Roman" w:hAnsi="Avenir Next LT Pro" w:cs="Arial"/>
                <w:sz w:val="22"/>
                <w:szCs w:val="22"/>
                <w:lang w:eastAsia="en-GB"/>
              </w:rPr>
            </w:pPr>
            <w:r w:rsidRPr="007C7524">
              <w:rPr>
                <w:rFonts w:ascii="Avenir Next LT Pro" w:eastAsia="Arial" w:hAnsi="Avenir Next LT Pro" w:cs="Arial"/>
                <w:color w:val="000000" w:themeColor="text1"/>
                <w:sz w:val="22"/>
                <w:szCs w:val="22"/>
                <w:lang w:val="en-GB"/>
              </w:rPr>
              <w:t>Full driving licence and access to own car with business insurance</w:t>
            </w:r>
          </w:p>
        </w:tc>
        <w:tc>
          <w:tcPr>
            <w:tcW w:w="1701" w:type="dxa"/>
            <w:tcBorders>
              <w:top w:val="single" w:sz="8" w:space="0" w:color="auto"/>
              <w:left w:val="single" w:sz="8" w:space="0" w:color="auto"/>
              <w:bottom w:val="single" w:sz="8" w:space="0" w:color="auto"/>
              <w:right w:val="single" w:sz="8" w:space="0" w:color="auto"/>
            </w:tcBorders>
          </w:tcPr>
          <w:p w14:paraId="346C534A" w14:textId="5746AE05" w:rsidR="005D15F9" w:rsidRPr="000E342E" w:rsidRDefault="005D15F9" w:rsidP="005D15F9">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6DCBF3F4" w14:textId="77AE4445" w:rsidR="005D15F9" w:rsidRPr="000E342E" w:rsidRDefault="005D15F9" w:rsidP="005D15F9">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5D15F9" w:rsidRPr="000E342E" w14:paraId="6F1546F2" w14:textId="77777777" w:rsidTr="5CF785E3">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511D7ED3" w:rsidR="005D15F9" w:rsidRPr="000E342E" w:rsidRDefault="005D15F9" w:rsidP="005D15F9">
            <w:pPr>
              <w:spacing w:after="0"/>
              <w:rPr>
                <w:rFonts w:ascii="Avenir Next LT Pro" w:eastAsia="Times New Roman" w:hAnsi="Avenir Next LT Pro" w:cs="Arial"/>
                <w:sz w:val="22"/>
                <w:szCs w:val="22"/>
                <w:lang w:val="en-GB" w:eastAsia="en-GB"/>
              </w:rPr>
            </w:pPr>
            <w:r w:rsidRPr="007C7524">
              <w:rPr>
                <w:rFonts w:ascii="Avenir Next LT Pro" w:eastAsia="Arial" w:hAnsi="Avenir Next LT Pro" w:cs="Arial"/>
                <w:color w:val="000000" w:themeColor="text1"/>
                <w:sz w:val="22"/>
                <w:szCs w:val="22"/>
                <w:lang w:val="en-GB"/>
              </w:rPr>
              <w:t xml:space="preserve">Willingness and ability to work at different sites </w:t>
            </w:r>
          </w:p>
        </w:tc>
        <w:tc>
          <w:tcPr>
            <w:tcW w:w="1701" w:type="dxa"/>
            <w:tcBorders>
              <w:top w:val="single" w:sz="8" w:space="0" w:color="auto"/>
              <w:left w:val="single" w:sz="8" w:space="0" w:color="auto"/>
              <w:bottom w:val="single" w:sz="8" w:space="0" w:color="auto"/>
              <w:right w:val="single" w:sz="8" w:space="0" w:color="auto"/>
            </w:tcBorders>
          </w:tcPr>
          <w:p w14:paraId="2C13B470" w14:textId="265CC91A" w:rsidR="005D15F9" w:rsidRPr="000E342E" w:rsidRDefault="005D15F9" w:rsidP="005D15F9">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54B6A219" w14:textId="5FBF3E05" w:rsidR="005D15F9" w:rsidRPr="000E342E" w:rsidRDefault="005D15F9" w:rsidP="005D15F9">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5D15F9" w:rsidRPr="000E342E" w14:paraId="7DA6A15E" w14:textId="77777777" w:rsidTr="000E342E">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B76B93" w14:textId="7C28F282" w:rsidR="005D15F9" w:rsidRPr="000E342E" w:rsidRDefault="005D15F9" w:rsidP="005D15F9">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Personal characteristics</w:t>
            </w:r>
          </w:p>
        </w:tc>
      </w:tr>
      <w:tr w:rsidR="005D15F9" w:rsidRPr="00D531CA" w14:paraId="11079624" w14:textId="77777777" w:rsidTr="003222B3">
        <w:trPr>
          <w:trHeight w:val="630"/>
        </w:trPr>
        <w:tc>
          <w:tcPr>
            <w:tcW w:w="5944" w:type="dxa"/>
            <w:tcBorders>
              <w:top w:val="single" w:sz="8" w:space="0" w:color="auto"/>
              <w:left w:val="single" w:sz="8" w:space="0" w:color="auto"/>
              <w:bottom w:val="single" w:sz="8" w:space="0" w:color="auto"/>
              <w:right w:val="single" w:sz="8" w:space="0" w:color="auto"/>
            </w:tcBorders>
          </w:tcPr>
          <w:p w14:paraId="79E116AC" w14:textId="4101EEBF" w:rsidR="005D15F9" w:rsidRPr="00D531CA" w:rsidRDefault="005D15F9" w:rsidP="005D15F9">
            <w:pPr>
              <w:spacing w:after="0"/>
              <w:ind w:left="45"/>
              <w:rPr>
                <w:rFonts w:ascii="Avenir Next LT Pro" w:eastAsia="Arial" w:hAnsi="Avenir Next LT Pro" w:cs="Arial"/>
                <w:sz w:val="22"/>
                <w:szCs w:val="22"/>
              </w:rPr>
            </w:pPr>
            <w:r>
              <w:rPr>
                <w:rFonts w:ascii="Avenir Next LT Pro" w:eastAsia="Arial" w:hAnsi="Avenir Next LT Pro" w:cs="Arial"/>
                <w:sz w:val="22"/>
                <w:szCs w:val="22"/>
              </w:rPr>
              <w:t>Demonstrate personal and professional integrity, including modelling values and vision</w:t>
            </w:r>
          </w:p>
        </w:tc>
        <w:tc>
          <w:tcPr>
            <w:tcW w:w="1701" w:type="dxa"/>
            <w:tcBorders>
              <w:top w:val="single" w:sz="8" w:space="0" w:color="auto"/>
              <w:left w:val="single" w:sz="8" w:space="0" w:color="auto"/>
              <w:bottom w:val="single" w:sz="8" w:space="0" w:color="auto"/>
              <w:right w:val="single" w:sz="8" w:space="0" w:color="auto"/>
            </w:tcBorders>
          </w:tcPr>
          <w:p w14:paraId="4B2FBE78" w14:textId="6BFFF549" w:rsidR="005D15F9" w:rsidRPr="00D531CA" w:rsidRDefault="005D15F9" w:rsidP="001D465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01AAD059" w14:textId="4F131A95" w:rsidR="005D15F9" w:rsidRPr="00D531CA" w:rsidRDefault="005D15F9" w:rsidP="001D465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A/I</w:t>
            </w:r>
          </w:p>
        </w:tc>
      </w:tr>
      <w:tr w:rsidR="005D15F9" w:rsidRPr="00D531CA" w14:paraId="790FB3FE" w14:textId="77777777" w:rsidTr="003222B3">
        <w:trPr>
          <w:trHeight w:val="630"/>
        </w:trPr>
        <w:tc>
          <w:tcPr>
            <w:tcW w:w="5944" w:type="dxa"/>
            <w:tcBorders>
              <w:top w:val="single" w:sz="8" w:space="0" w:color="auto"/>
              <w:left w:val="single" w:sz="8" w:space="0" w:color="auto"/>
              <w:bottom w:val="single" w:sz="8" w:space="0" w:color="auto"/>
              <w:right w:val="single" w:sz="8" w:space="0" w:color="auto"/>
            </w:tcBorders>
          </w:tcPr>
          <w:p w14:paraId="159C560A" w14:textId="734480F1" w:rsidR="005D15F9" w:rsidRPr="00D531CA" w:rsidRDefault="005D15F9" w:rsidP="005D15F9">
            <w:pPr>
              <w:spacing w:after="0"/>
              <w:ind w:left="45"/>
              <w:rPr>
                <w:rFonts w:ascii="Avenir Next LT Pro" w:hAnsi="Avenir Next LT Pro"/>
                <w:sz w:val="22"/>
                <w:szCs w:val="22"/>
              </w:rPr>
            </w:pPr>
            <w:r>
              <w:rPr>
                <w:rFonts w:ascii="Avenir Next LT Pro" w:hAnsi="Avenir Next LT Pro"/>
                <w:sz w:val="22"/>
                <w:szCs w:val="22"/>
              </w:rPr>
              <w:t>Ability to input data accurately i.e. a good eye for detail</w:t>
            </w:r>
          </w:p>
        </w:tc>
        <w:tc>
          <w:tcPr>
            <w:tcW w:w="1701" w:type="dxa"/>
            <w:tcBorders>
              <w:top w:val="single" w:sz="8" w:space="0" w:color="auto"/>
              <w:left w:val="single" w:sz="8" w:space="0" w:color="auto"/>
              <w:bottom w:val="single" w:sz="8" w:space="0" w:color="auto"/>
              <w:right w:val="single" w:sz="8" w:space="0" w:color="auto"/>
            </w:tcBorders>
          </w:tcPr>
          <w:p w14:paraId="299D89B0" w14:textId="58F1F98D" w:rsidR="005D15F9" w:rsidRPr="00D531CA" w:rsidRDefault="005D15F9" w:rsidP="001D465E">
            <w:pPr>
              <w:spacing w:after="0"/>
              <w:ind w:left="60"/>
              <w:jc w:val="center"/>
              <w:rPr>
                <w:rFonts w:ascii="Avenir Next LT Pro" w:hAnsi="Avenir Next LT Pro"/>
                <w:sz w:val="22"/>
                <w:szCs w:val="22"/>
              </w:rPr>
            </w:pPr>
            <w:r>
              <w:rPr>
                <w:rFonts w:ascii="Avenir Next LT Pro" w:hAnsi="Avenir Next LT Pro"/>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1BB7E66D" w14:textId="7B51D379" w:rsidR="005D15F9" w:rsidRPr="00D531CA" w:rsidRDefault="005D15F9" w:rsidP="001D465E">
            <w:pPr>
              <w:spacing w:after="0"/>
              <w:ind w:left="60"/>
              <w:jc w:val="center"/>
              <w:rPr>
                <w:rFonts w:ascii="Avenir Next LT Pro" w:hAnsi="Avenir Next LT Pro"/>
                <w:sz w:val="22"/>
                <w:szCs w:val="22"/>
              </w:rPr>
            </w:pPr>
            <w:r>
              <w:rPr>
                <w:rFonts w:ascii="Avenir Next LT Pro" w:hAnsi="Avenir Next LT Pro"/>
                <w:sz w:val="22"/>
                <w:szCs w:val="22"/>
              </w:rPr>
              <w:t>A/I</w:t>
            </w:r>
          </w:p>
        </w:tc>
      </w:tr>
      <w:tr w:rsidR="005D15F9" w:rsidRPr="00D531CA" w14:paraId="1EC6452D" w14:textId="77777777" w:rsidTr="003222B3">
        <w:trPr>
          <w:trHeight w:val="630"/>
        </w:trPr>
        <w:tc>
          <w:tcPr>
            <w:tcW w:w="5944" w:type="dxa"/>
            <w:tcBorders>
              <w:top w:val="single" w:sz="8" w:space="0" w:color="auto"/>
              <w:left w:val="single" w:sz="8" w:space="0" w:color="auto"/>
              <w:bottom w:val="single" w:sz="8" w:space="0" w:color="auto"/>
              <w:right w:val="single" w:sz="8" w:space="0" w:color="auto"/>
            </w:tcBorders>
          </w:tcPr>
          <w:p w14:paraId="4966E383" w14:textId="706B94B6" w:rsidR="005D15F9" w:rsidRPr="00D531CA" w:rsidRDefault="005D15F9" w:rsidP="005D15F9">
            <w:pPr>
              <w:spacing w:after="0"/>
              <w:ind w:left="45"/>
              <w:rPr>
                <w:rFonts w:ascii="Avenir Next LT Pro" w:hAnsi="Avenir Next LT Pro"/>
                <w:sz w:val="22"/>
                <w:szCs w:val="22"/>
              </w:rPr>
            </w:pPr>
            <w:r w:rsidRPr="00D531CA">
              <w:rPr>
                <w:rFonts w:ascii="Avenir Next LT Pro" w:hAnsi="Avenir Next LT Pro"/>
                <w:sz w:val="22"/>
                <w:szCs w:val="22"/>
              </w:rPr>
              <w:lastRenderedPageBreak/>
              <w:t>Flexible and dedicated approach to work</w:t>
            </w:r>
          </w:p>
        </w:tc>
        <w:tc>
          <w:tcPr>
            <w:tcW w:w="1701" w:type="dxa"/>
            <w:tcBorders>
              <w:top w:val="single" w:sz="8" w:space="0" w:color="auto"/>
              <w:left w:val="single" w:sz="8" w:space="0" w:color="auto"/>
              <w:bottom w:val="single" w:sz="8" w:space="0" w:color="auto"/>
              <w:right w:val="single" w:sz="8" w:space="0" w:color="auto"/>
            </w:tcBorders>
          </w:tcPr>
          <w:p w14:paraId="0B32E625" w14:textId="0F93D362" w:rsidR="005D15F9" w:rsidRPr="00D531CA" w:rsidRDefault="005D15F9" w:rsidP="001D465E">
            <w:pPr>
              <w:spacing w:after="0"/>
              <w:ind w:left="60"/>
              <w:jc w:val="center"/>
              <w:rPr>
                <w:rFonts w:ascii="Avenir Next LT Pro" w:hAnsi="Avenir Next LT Pro"/>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3AB3CCD8" w14:textId="0BBDACDF" w:rsidR="005D15F9" w:rsidRPr="00D531CA" w:rsidRDefault="005D15F9" w:rsidP="001D465E">
            <w:pPr>
              <w:spacing w:after="0"/>
              <w:ind w:left="60"/>
              <w:jc w:val="center"/>
              <w:rPr>
                <w:rFonts w:ascii="Avenir Next LT Pro" w:hAnsi="Avenir Next LT Pro"/>
                <w:sz w:val="22"/>
                <w:szCs w:val="22"/>
              </w:rPr>
            </w:pPr>
            <w:r w:rsidRPr="00D531CA">
              <w:rPr>
                <w:rFonts w:ascii="Avenir Next LT Pro" w:hAnsi="Avenir Next LT Pro"/>
                <w:sz w:val="22"/>
                <w:szCs w:val="22"/>
              </w:rPr>
              <w:t>A/I/R</w:t>
            </w:r>
          </w:p>
        </w:tc>
      </w:tr>
      <w:tr w:rsidR="005D15F9" w:rsidRPr="00D531CA" w14:paraId="1975CCEC" w14:textId="77777777" w:rsidTr="003222B3">
        <w:trPr>
          <w:trHeight w:val="630"/>
        </w:trPr>
        <w:tc>
          <w:tcPr>
            <w:tcW w:w="5944" w:type="dxa"/>
            <w:tcBorders>
              <w:top w:val="single" w:sz="8" w:space="0" w:color="auto"/>
              <w:left w:val="single" w:sz="8" w:space="0" w:color="auto"/>
              <w:bottom w:val="single" w:sz="8" w:space="0" w:color="auto"/>
              <w:right w:val="single" w:sz="8" w:space="0" w:color="auto"/>
            </w:tcBorders>
          </w:tcPr>
          <w:p w14:paraId="6B179235" w14:textId="77777777" w:rsidR="005D15F9" w:rsidRPr="00D531CA" w:rsidRDefault="005D15F9" w:rsidP="005D15F9">
            <w:pPr>
              <w:spacing w:after="0"/>
              <w:rPr>
                <w:rFonts w:ascii="Avenir Next LT Pro" w:eastAsia="Arial" w:hAnsi="Avenir Next LT Pro" w:cs="Arial"/>
                <w:sz w:val="22"/>
                <w:szCs w:val="22"/>
              </w:rPr>
            </w:pPr>
            <w:r w:rsidRPr="00D531CA">
              <w:rPr>
                <w:rFonts w:ascii="Avenir Next LT Pro" w:hAnsi="Avenir Next LT Pro"/>
                <w:sz w:val="22"/>
                <w:szCs w:val="22"/>
              </w:rPr>
              <w:t>Commitment to Safeguarding and protecting the welfare of children and young people</w:t>
            </w:r>
          </w:p>
        </w:tc>
        <w:tc>
          <w:tcPr>
            <w:tcW w:w="1701" w:type="dxa"/>
            <w:tcBorders>
              <w:top w:val="single" w:sz="8" w:space="0" w:color="auto"/>
              <w:left w:val="single" w:sz="8" w:space="0" w:color="auto"/>
              <w:bottom w:val="single" w:sz="8" w:space="0" w:color="auto"/>
              <w:right w:val="single" w:sz="8" w:space="0" w:color="auto"/>
            </w:tcBorders>
          </w:tcPr>
          <w:p w14:paraId="0250F5C4" w14:textId="5506A970" w:rsidR="005D15F9" w:rsidRPr="00D531CA" w:rsidRDefault="005D15F9" w:rsidP="001D465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6F11314" w14:textId="77777777" w:rsidR="005D15F9" w:rsidRPr="00D531CA" w:rsidRDefault="005D15F9" w:rsidP="001D465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5D15F9" w:rsidRPr="00D531CA" w14:paraId="47E15C4A" w14:textId="77777777" w:rsidTr="003222B3">
        <w:trPr>
          <w:trHeight w:val="315"/>
        </w:trPr>
        <w:tc>
          <w:tcPr>
            <w:tcW w:w="5944" w:type="dxa"/>
            <w:tcBorders>
              <w:top w:val="single" w:sz="8" w:space="0" w:color="auto"/>
              <w:left w:val="single" w:sz="8" w:space="0" w:color="auto"/>
              <w:bottom w:val="single" w:sz="8" w:space="0" w:color="auto"/>
              <w:right w:val="single" w:sz="8" w:space="0" w:color="auto"/>
            </w:tcBorders>
          </w:tcPr>
          <w:p w14:paraId="57433E71" w14:textId="77777777" w:rsidR="005D15F9" w:rsidRPr="00D531CA" w:rsidRDefault="005D15F9" w:rsidP="005D15F9">
            <w:pPr>
              <w:spacing w:after="0"/>
              <w:rPr>
                <w:rFonts w:ascii="Avenir Next LT Pro" w:eastAsia="Arial" w:hAnsi="Avenir Next LT Pro" w:cs="Arial"/>
                <w:sz w:val="22"/>
                <w:szCs w:val="22"/>
              </w:rPr>
            </w:pPr>
            <w:r w:rsidRPr="00D531CA">
              <w:rPr>
                <w:rFonts w:ascii="Avenir Next LT Pro" w:hAnsi="Avenir Next LT Pro"/>
                <w:sz w:val="22"/>
                <w:szCs w:val="22"/>
              </w:rPr>
              <w:t>Commitment to equality and diversity</w:t>
            </w:r>
          </w:p>
        </w:tc>
        <w:tc>
          <w:tcPr>
            <w:tcW w:w="1701" w:type="dxa"/>
            <w:tcBorders>
              <w:top w:val="single" w:sz="8" w:space="0" w:color="auto"/>
              <w:left w:val="single" w:sz="8" w:space="0" w:color="auto"/>
              <w:bottom w:val="single" w:sz="8" w:space="0" w:color="auto"/>
              <w:right w:val="single" w:sz="8" w:space="0" w:color="auto"/>
            </w:tcBorders>
          </w:tcPr>
          <w:p w14:paraId="49BF648B" w14:textId="0362E449" w:rsidR="005D15F9" w:rsidRPr="00D531CA" w:rsidRDefault="005D15F9" w:rsidP="001D465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4E810D20" w14:textId="77777777" w:rsidR="005D15F9" w:rsidRPr="00D531CA" w:rsidRDefault="005D15F9" w:rsidP="001D465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w:t>
            </w:r>
          </w:p>
        </w:tc>
      </w:tr>
      <w:tr w:rsidR="005D15F9" w:rsidRPr="00D531CA" w14:paraId="6E7BE939" w14:textId="77777777" w:rsidTr="003222B3">
        <w:trPr>
          <w:trHeight w:val="360"/>
        </w:trPr>
        <w:tc>
          <w:tcPr>
            <w:tcW w:w="5944" w:type="dxa"/>
            <w:tcBorders>
              <w:top w:val="single" w:sz="8" w:space="0" w:color="auto"/>
              <w:left w:val="single" w:sz="8" w:space="0" w:color="auto"/>
              <w:bottom w:val="single" w:sz="8" w:space="0" w:color="auto"/>
              <w:right w:val="single" w:sz="8" w:space="0" w:color="auto"/>
            </w:tcBorders>
          </w:tcPr>
          <w:p w14:paraId="2B9E70A8" w14:textId="77777777" w:rsidR="005D15F9" w:rsidRPr="00D531CA" w:rsidRDefault="005D15F9" w:rsidP="005D15F9">
            <w:pPr>
              <w:spacing w:after="0"/>
              <w:rPr>
                <w:rFonts w:ascii="Avenir Next LT Pro" w:eastAsia="Arial" w:hAnsi="Avenir Next LT Pro" w:cs="Arial"/>
                <w:sz w:val="22"/>
                <w:szCs w:val="22"/>
              </w:rPr>
            </w:pPr>
            <w:r w:rsidRPr="00D531CA">
              <w:rPr>
                <w:rFonts w:ascii="Avenir Next LT Pro" w:hAnsi="Avenir Next LT Pro"/>
                <w:sz w:val="22"/>
                <w:szCs w:val="22"/>
              </w:rPr>
              <w:t>Commitment to good attendance at work</w:t>
            </w:r>
          </w:p>
        </w:tc>
        <w:tc>
          <w:tcPr>
            <w:tcW w:w="1701" w:type="dxa"/>
            <w:tcBorders>
              <w:top w:val="single" w:sz="8" w:space="0" w:color="auto"/>
              <w:left w:val="single" w:sz="8" w:space="0" w:color="auto"/>
              <w:bottom w:val="single" w:sz="8" w:space="0" w:color="auto"/>
              <w:right w:val="single" w:sz="8" w:space="0" w:color="auto"/>
            </w:tcBorders>
          </w:tcPr>
          <w:p w14:paraId="7854947A" w14:textId="0F353EF2" w:rsidR="005D15F9" w:rsidRPr="00D531CA" w:rsidRDefault="005D15F9" w:rsidP="001D465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5FD0F60B" w14:textId="77777777" w:rsidR="005D15F9" w:rsidRPr="00D531CA" w:rsidRDefault="005D15F9" w:rsidP="001D465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5D15F9" w:rsidRPr="00D531CA" w14:paraId="2B823847" w14:textId="77777777" w:rsidTr="003222B3">
        <w:trPr>
          <w:trHeight w:val="177"/>
        </w:trPr>
        <w:tc>
          <w:tcPr>
            <w:tcW w:w="5944" w:type="dxa"/>
            <w:tcBorders>
              <w:top w:val="single" w:sz="8" w:space="0" w:color="auto"/>
              <w:left w:val="single" w:sz="8" w:space="0" w:color="auto"/>
              <w:bottom w:val="single" w:sz="8" w:space="0" w:color="auto"/>
              <w:right w:val="single" w:sz="8" w:space="0" w:color="auto"/>
            </w:tcBorders>
          </w:tcPr>
          <w:p w14:paraId="22AF18C2" w14:textId="77777777" w:rsidR="005D15F9" w:rsidRPr="00D531CA" w:rsidRDefault="005D15F9" w:rsidP="005D15F9">
            <w:pPr>
              <w:spacing w:after="0"/>
              <w:rPr>
                <w:rFonts w:ascii="Avenir Next LT Pro" w:eastAsia="Arial" w:hAnsi="Avenir Next LT Pro" w:cs="Arial"/>
                <w:sz w:val="22"/>
                <w:szCs w:val="22"/>
              </w:rPr>
            </w:pPr>
            <w:r w:rsidRPr="00D531CA">
              <w:rPr>
                <w:rFonts w:ascii="Avenir Next LT Pro" w:hAnsi="Avenir Next LT Pro"/>
                <w:sz w:val="22"/>
                <w:szCs w:val="22"/>
              </w:rPr>
              <w:t>Commitment to continuing professional development</w:t>
            </w:r>
          </w:p>
        </w:tc>
        <w:tc>
          <w:tcPr>
            <w:tcW w:w="1701" w:type="dxa"/>
            <w:tcBorders>
              <w:top w:val="single" w:sz="8" w:space="0" w:color="auto"/>
              <w:left w:val="single" w:sz="8" w:space="0" w:color="auto"/>
              <w:bottom w:val="single" w:sz="8" w:space="0" w:color="auto"/>
              <w:right w:val="single" w:sz="8" w:space="0" w:color="auto"/>
            </w:tcBorders>
          </w:tcPr>
          <w:p w14:paraId="3255976E" w14:textId="5713B8C5" w:rsidR="005D15F9" w:rsidRPr="00D531CA" w:rsidRDefault="005D15F9" w:rsidP="001D465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89F1F58" w14:textId="77777777" w:rsidR="005D15F9" w:rsidRPr="00D531CA" w:rsidRDefault="005D15F9" w:rsidP="001D465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bl>
    <w:p w14:paraId="58FC49E3" w14:textId="1AA5DDCA" w:rsidR="00023EC4" w:rsidRPr="000E342E" w:rsidRDefault="00023EC4" w:rsidP="17E65116">
      <w:pPr>
        <w:rPr>
          <w:rFonts w:ascii="Avenir Next LT Pro" w:hAnsi="Avenir Next LT Pro" w:cs="Arial"/>
          <w:sz w:val="22"/>
          <w:szCs w:val="22"/>
        </w:rPr>
      </w:pPr>
    </w:p>
    <w:p w14:paraId="00BF8FAB" w14:textId="77777777" w:rsidR="00283AC5" w:rsidRPr="000E342E" w:rsidRDefault="00283AC5" w:rsidP="17E65116">
      <w:pPr>
        <w:rPr>
          <w:rFonts w:ascii="Avenir Next LT Pro" w:hAnsi="Avenir Next LT Pro"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D2D64" w14:textId="77777777" w:rsidR="00EB4E7B" w:rsidRDefault="00EB4E7B">
      <w:pPr>
        <w:spacing w:after="0" w:line="240" w:lineRule="auto"/>
      </w:pPr>
      <w:r>
        <w:separator/>
      </w:r>
    </w:p>
  </w:endnote>
  <w:endnote w:type="continuationSeparator" w:id="0">
    <w:p w14:paraId="6CDA6E25" w14:textId="77777777" w:rsidR="00EB4E7B" w:rsidRDefault="00EB4E7B">
      <w:pPr>
        <w:spacing w:after="0" w:line="240" w:lineRule="auto"/>
      </w:pPr>
      <w:r>
        <w:continuationSeparator/>
      </w:r>
    </w:p>
  </w:endnote>
  <w:endnote w:type="continuationNotice" w:id="1">
    <w:p w14:paraId="79BF7C36" w14:textId="77777777" w:rsidR="00EB4E7B" w:rsidRDefault="00EB4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79EF2" w14:textId="77777777" w:rsidR="00EB4E7B" w:rsidRDefault="00EB4E7B">
      <w:pPr>
        <w:spacing w:after="0" w:line="240" w:lineRule="auto"/>
      </w:pPr>
      <w:r>
        <w:separator/>
      </w:r>
    </w:p>
  </w:footnote>
  <w:footnote w:type="continuationSeparator" w:id="0">
    <w:p w14:paraId="062CFA71" w14:textId="77777777" w:rsidR="00EB4E7B" w:rsidRDefault="00EB4E7B">
      <w:pPr>
        <w:spacing w:after="0" w:line="240" w:lineRule="auto"/>
      </w:pPr>
      <w:r>
        <w:continuationSeparator/>
      </w:r>
    </w:p>
  </w:footnote>
  <w:footnote w:type="continuationNotice" w:id="1">
    <w:p w14:paraId="6D382335" w14:textId="77777777" w:rsidR="00EB4E7B" w:rsidRDefault="00EB4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0127B4F3" w:rsidR="00722618" w:rsidRDefault="00F87F46">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F87F46"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5CF6613E" w:rsidR="00722618" w:rsidRDefault="00F87F46">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5E8"/>
    <w:multiLevelType w:val="multilevel"/>
    <w:tmpl w:val="E12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25029"/>
    <w:multiLevelType w:val="hybridMultilevel"/>
    <w:tmpl w:val="E0C6C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E43DB"/>
    <w:multiLevelType w:val="hybridMultilevel"/>
    <w:tmpl w:val="F904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44187"/>
    <w:multiLevelType w:val="hybridMultilevel"/>
    <w:tmpl w:val="76A07744"/>
    <w:lvl w:ilvl="0" w:tplc="FE1290DA">
      <w:start w:val="1"/>
      <w:numFmt w:val="bullet"/>
      <w:lvlText w:val=""/>
      <w:lvlJc w:val="left"/>
      <w:pPr>
        <w:ind w:left="720" w:hanging="360"/>
      </w:pPr>
      <w:rPr>
        <w:rFonts w:ascii="Symbol" w:hAnsi="Symbol" w:hint="default"/>
      </w:rPr>
    </w:lvl>
    <w:lvl w:ilvl="1" w:tplc="6CA80226">
      <w:start w:val="1"/>
      <w:numFmt w:val="bullet"/>
      <w:lvlText w:val="o"/>
      <w:lvlJc w:val="left"/>
      <w:pPr>
        <w:ind w:left="1440" w:hanging="360"/>
      </w:pPr>
      <w:rPr>
        <w:rFonts w:ascii="Courier New" w:hAnsi="Courier New" w:hint="default"/>
      </w:rPr>
    </w:lvl>
    <w:lvl w:ilvl="2" w:tplc="B6D825CE">
      <w:start w:val="1"/>
      <w:numFmt w:val="bullet"/>
      <w:lvlText w:val=""/>
      <w:lvlJc w:val="left"/>
      <w:pPr>
        <w:ind w:left="2160" w:hanging="360"/>
      </w:pPr>
      <w:rPr>
        <w:rFonts w:ascii="Wingdings" w:hAnsi="Wingdings" w:hint="default"/>
      </w:rPr>
    </w:lvl>
    <w:lvl w:ilvl="3" w:tplc="DA8E31F6">
      <w:start w:val="1"/>
      <w:numFmt w:val="bullet"/>
      <w:lvlText w:val=""/>
      <w:lvlJc w:val="left"/>
      <w:pPr>
        <w:ind w:left="2880" w:hanging="360"/>
      </w:pPr>
      <w:rPr>
        <w:rFonts w:ascii="Symbol" w:hAnsi="Symbol" w:hint="default"/>
      </w:rPr>
    </w:lvl>
    <w:lvl w:ilvl="4" w:tplc="1DFE0978">
      <w:start w:val="1"/>
      <w:numFmt w:val="bullet"/>
      <w:lvlText w:val="o"/>
      <w:lvlJc w:val="left"/>
      <w:pPr>
        <w:ind w:left="3600" w:hanging="360"/>
      </w:pPr>
      <w:rPr>
        <w:rFonts w:ascii="Courier New" w:hAnsi="Courier New" w:hint="default"/>
      </w:rPr>
    </w:lvl>
    <w:lvl w:ilvl="5" w:tplc="7DD2439A">
      <w:start w:val="1"/>
      <w:numFmt w:val="bullet"/>
      <w:lvlText w:val=""/>
      <w:lvlJc w:val="left"/>
      <w:pPr>
        <w:ind w:left="4320" w:hanging="360"/>
      </w:pPr>
      <w:rPr>
        <w:rFonts w:ascii="Wingdings" w:hAnsi="Wingdings" w:hint="default"/>
      </w:rPr>
    </w:lvl>
    <w:lvl w:ilvl="6" w:tplc="01C077EA">
      <w:start w:val="1"/>
      <w:numFmt w:val="bullet"/>
      <w:lvlText w:val=""/>
      <w:lvlJc w:val="left"/>
      <w:pPr>
        <w:ind w:left="5040" w:hanging="360"/>
      </w:pPr>
      <w:rPr>
        <w:rFonts w:ascii="Symbol" w:hAnsi="Symbol" w:hint="default"/>
      </w:rPr>
    </w:lvl>
    <w:lvl w:ilvl="7" w:tplc="D232680A">
      <w:start w:val="1"/>
      <w:numFmt w:val="bullet"/>
      <w:lvlText w:val="o"/>
      <w:lvlJc w:val="left"/>
      <w:pPr>
        <w:ind w:left="5760" w:hanging="360"/>
      </w:pPr>
      <w:rPr>
        <w:rFonts w:ascii="Courier New" w:hAnsi="Courier New" w:hint="default"/>
      </w:rPr>
    </w:lvl>
    <w:lvl w:ilvl="8" w:tplc="E54EA02A">
      <w:start w:val="1"/>
      <w:numFmt w:val="bullet"/>
      <w:lvlText w:val=""/>
      <w:lvlJc w:val="left"/>
      <w:pPr>
        <w:ind w:left="6480" w:hanging="360"/>
      </w:pPr>
      <w:rPr>
        <w:rFonts w:ascii="Wingdings" w:hAnsi="Wingdings" w:hint="default"/>
      </w:rPr>
    </w:lvl>
  </w:abstractNum>
  <w:abstractNum w:abstractNumId="4" w15:restartNumberingAfterBreak="0">
    <w:nsid w:val="1B61C1F2"/>
    <w:multiLevelType w:val="hybridMultilevel"/>
    <w:tmpl w:val="D3AE7A4E"/>
    <w:lvl w:ilvl="0" w:tplc="98DA7E12">
      <w:start w:val="1"/>
      <w:numFmt w:val="bullet"/>
      <w:lvlText w:val=""/>
      <w:lvlJc w:val="left"/>
      <w:pPr>
        <w:ind w:left="720" w:hanging="360"/>
      </w:pPr>
      <w:rPr>
        <w:rFonts w:ascii="Symbol" w:hAnsi="Symbol" w:hint="default"/>
      </w:rPr>
    </w:lvl>
    <w:lvl w:ilvl="1" w:tplc="02143BE0">
      <w:start w:val="1"/>
      <w:numFmt w:val="bullet"/>
      <w:lvlText w:val="o"/>
      <w:lvlJc w:val="left"/>
      <w:pPr>
        <w:ind w:left="1440" w:hanging="360"/>
      </w:pPr>
      <w:rPr>
        <w:rFonts w:ascii="Courier New" w:hAnsi="Courier New" w:hint="default"/>
      </w:rPr>
    </w:lvl>
    <w:lvl w:ilvl="2" w:tplc="4A8EB524">
      <w:start w:val="1"/>
      <w:numFmt w:val="bullet"/>
      <w:lvlText w:val=""/>
      <w:lvlJc w:val="left"/>
      <w:pPr>
        <w:ind w:left="2160" w:hanging="360"/>
      </w:pPr>
      <w:rPr>
        <w:rFonts w:ascii="Wingdings" w:hAnsi="Wingdings" w:hint="default"/>
      </w:rPr>
    </w:lvl>
    <w:lvl w:ilvl="3" w:tplc="DCDC8AB4">
      <w:start w:val="1"/>
      <w:numFmt w:val="bullet"/>
      <w:lvlText w:val=""/>
      <w:lvlJc w:val="left"/>
      <w:pPr>
        <w:ind w:left="2880" w:hanging="360"/>
      </w:pPr>
      <w:rPr>
        <w:rFonts w:ascii="Symbol" w:hAnsi="Symbol" w:hint="default"/>
      </w:rPr>
    </w:lvl>
    <w:lvl w:ilvl="4" w:tplc="8CB43B78">
      <w:start w:val="1"/>
      <w:numFmt w:val="bullet"/>
      <w:lvlText w:val="o"/>
      <w:lvlJc w:val="left"/>
      <w:pPr>
        <w:ind w:left="3600" w:hanging="360"/>
      </w:pPr>
      <w:rPr>
        <w:rFonts w:ascii="Courier New" w:hAnsi="Courier New" w:hint="default"/>
      </w:rPr>
    </w:lvl>
    <w:lvl w:ilvl="5" w:tplc="D78CA574">
      <w:start w:val="1"/>
      <w:numFmt w:val="bullet"/>
      <w:lvlText w:val=""/>
      <w:lvlJc w:val="left"/>
      <w:pPr>
        <w:ind w:left="4320" w:hanging="360"/>
      </w:pPr>
      <w:rPr>
        <w:rFonts w:ascii="Wingdings" w:hAnsi="Wingdings" w:hint="default"/>
      </w:rPr>
    </w:lvl>
    <w:lvl w:ilvl="6" w:tplc="06CAC730">
      <w:start w:val="1"/>
      <w:numFmt w:val="bullet"/>
      <w:lvlText w:val=""/>
      <w:lvlJc w:val="left"/>
      <w:pPr>
        <w:ind w:left="5040" w:hanging="360"/>
      </w:pPr>
      <w:rPr>
        <w:rFonts w:ascii="Symbol" w:hAnsi="Symbol" w:hint="default"/>
      </w:rPr>
    </w:lvl>
    <w:lvl w:ilvl="7" w:tplc="0E960E2C">
      <w:start w:val="1"/>
      <w:numFmt w:val="bullet"/>
      <w:lvlText w:val="o"/>
      <w:lvlJc w:val="left"/>
      <w:pPr>
        <w:ind w:left="5760" w:hanging="360"/>
      </w:pPr>
      <w:rPr>
        <w:rFonts w:ascii="Courier New" w:hAnsi="Courier New" w:hint="default"/>
      </w:rPr>
    </w:lvl>
    <w:lvl w:ilvl="8" w:tplc="E9E6B576">
      <w:start w:val="1"/>
      <w:numFmt w:val="bullet"/>
      <w:lvlText w:val=""/>
      <w:lvlJc w:val="left"/>
      <w:pPr>
        <w:ind w:left="6480" w:hanging="360"/>
      </w:pPr>
      <w:rPr>
        <w:rFonts w:ascii="Wingdings" w:hAnsi="Wingdings" w:hint="default"/>
      </w:rPr>
    </w:lvl>
  </w:abstractNum>
  <w:abstractNum w:abstractNumId="5" w15:restartNumberingAfterBreak="0">
    <w:nsid w:val="2782668F"/>
    <w:multiLevelType w:val="hybridMultilevel"/>
    <w:tmpl w:val="9B10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732A7"/>
    <w:multiLevelType w:val="hybridMultilevel"/>
    <w:tmpl w:val="C066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E51AA"/>
    <w:multiLevelType w:val="hybridMultilevel"/>
    <w:tmpl w:val="353A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7092F"/>
    <w:multiLevelType w:val="hybridMultilevel"/>
    <w:tmpl w:val="2810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66D76"/>
    <w:multiLevelType w:val="hybridMultilevel"/>
    <w:tmpl w:val="129C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255C5"/>
    <w:multiLevelType w:val="hybridMultilevel"/>
    <w:tmpl w:val="EA9C22F8"/>
    <w:lvl w:ilvl="0" w:tplc="0809000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667A8B"/>
    <w:multiLevelType w:val="hybridMultilevel"/>
    <w:tmpl w:val="DB66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F5986"/>
    <w:multiLevelType w:val="hybridMultilevel"/>
    <w:tmpl w:val="78001C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53643"/>
    <w:multiLevelType w:val="hybridMultilevel"/>
    <w:tmpl w:val="E81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BD068D"/>
    <w:multiLevelType w:val="hybridMultilevel"/>
    <w:tmpl w:val="EAB49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E4351AC"/>
    <w:multiLevelType w:val="hybridMultilevel"/>
    <w:tmpl w:val="10AE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63771"/>
    <w:multiLevelType w:val="hybridMultilevel"/>
    <w:tmpl w:val="36D26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9A69458"/>
    <w:multiLevelType w:val="hybridMultilevel"/>
    <w:tmpl w:val="B50E8674"/>
    <w:lvl w:ilvl="0" w:tplc="97A87AAE">
      <w:start w:val="1"/>
      <w:numFmt w:val="bullet"/>
      <w:lvlText w:val=""/>
      <w:lvlJc w:val="left"/>
      <w:pPr>
        <w:ind w:left="720" w:hanging="360"/>
      </w:pPr>
      <w:rPr>
        <w:rFonts w:ascii="Symbol" w:hAnsi="Symbol" w:hint="default"/>
      </w:rPr>
    </w:lvl>
    <w:lvl w:ilvl="1" w:tplc="E0A0009C">
      <w:start w:val="1"/>
      <w:numFmt w:val="bullet"/>
      <w:lvlText w:val="o"/>
      <w:lvlJc w:val="left"/>
      <w:pPr>
        <w:ind w:left="1440" w:hanging="360"/>
      </w:pPr>
      <w:rPr>
        <w:rFonts w:ascii="Courier New" w:hAnsi="Courier New" w:hint="default"/>
      </w:rPr>
    </w:lvl>
    <w:lvl w:ilvl="2" w:tplc="9AF05526">
      <w:start w:val="1"/>
      <w:numFmt w:val="bullet"/>
      <w:lvlText w:val=""/>
      <w:lvlJc w:val="left"/>
      <w:pPr>
        <w:ind w:left="2160" w:hanging="360"/>
      </w:pPr>
      <w:rPr>
        <w:rFonts w:ascii="Wingdings" w:hAnsi="Wingdings" w:hint="default"/>
      </w:rPr>
    </w:lvl>
    <w:lvl w:ilvl="3" w:tplc="11761D7E">
      <w:start w:val="1"/>
      <w:numFmt w:val="bullet"/>
      <w:lvlText w:val=""/>
      <w:lvlJc w:val="left"/>
      <w:pPr>
        <w:ind w:left="2880" w:hanging="360"/>
      </w:pPr>
      <w:rPr>
        <w:rFonts w:ascii="Symbol" w:hAnsi="Symbol" w:hint="default"/>
      </w:rPr>
    </w:lvl>
    <w:lvl w:ilvl="4" w:tplc="B6BE2590">
      <w:start w:val="1"/>
      <w:numFmt w:val="bullet"/>
      <w:lvlText w:val="o"/>
      <w:lvlJc w:val="left"/>
      <w:pPr>
        <w:ind w:left="3600" w:hanging="360"/>
      </w:pPr>
      <w:rPr>
        <w:rFonts w:ascii="Courier New" w:hAnsi="Courier New" w:hint="default"/>
      </w:rPr>
    </w:lvl>
    <w:lvl w:ilvl="5" w:tplc="66902524">
      <w:start w:val="1"/>
      <w:numFmt w:val="bullet"/>
      <w:lvlText w:val=""/>
      <w:lvlJc w:val="left"/>
      <w:pPr>
        <w:ind w:left="4320" w:hanging="360"/>
      </w:pPr>
      <w:rPr>
        <w:rFonts w:ascii="Wingdings" w:hAnsi="Wingdings" w:hint="default"/>
      </w:rPr>
    </w:lvl>
    <w:lvl w:ilvl="6" w:tplc="562EBE50">
      <w:start w:val="1"/>
      <w:numFmt w:val="bullet"/>
      <w:lvlText w:val=""/>
      <w:lvlJc w:val="left"/>
      <w:pPr>
        <w:ind w:left="5040" w:hanging="360"/>
      </w:pPr>
      <w:rPr>
        <w:rFonts w:ascii="Symbol" w:hAnsi="Symbol" w:hint="default"/>
      </w:rPr>
    </w:lvl>
    <w:lvl w:ilvl="7" w:tplc="955C961A">
      <w:start w:val="1"/>
      <w:numFmt w:val="bullet"/>
      <w:lvlText w:val="o"/>
      <w:lvlJc w:val="left"/>
      <w:pPr>
        <w:ind w:left="5760" w:hanging="360"/>
      </w:pPr>
      <w:rPr>
        <w:rFonts w:ascii="Courier New" w:hAnsi="Courier New" w:hint="default"/>
      </w:rPr>
    </w:lvl>
    <w:lvl w:ilvl="8" w:tplc="D2DCC25C">
      <w:start w:val="1"/>
      <w:numFmt w:val="bullet"/>
      <w:lvlText w:val=""/>
      <w:lvlJc w:val="left"/>
      <w:pPr>
        <w:ind w:left="6480" w:hanging="360"/>
      </w:pPr>
      <w:rPr>
        <w:rFonts w:ascii="Wingdings" w:hAnsi="Wingdings" w:hint="default"/>
      </w:rPr>
    </w:lvl>
  </w:abstractNum>
  <w:abstractNum w:abstractNumId="18" w15:restartNumberingAfterBreak="0">
    <w:nsid w:val="7DB55218"/>
    <w:multiLevelType w:val="hybridMultilevel"/>
    <w:tmpl w:val="4CF49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8304443">
    <w:abstractNumId w:val="17"/>
  </w:num>
  <w:num w:numId="2" w16cid:durableId="1888374417">
    <w:abstractNumId w:val="4"/>
  </w:num>
  <w:num w:numId="3" w16cid:durableId="204372655">
    <w:abstractNumId w:val="3"/>
  </w:num>
  <w:num w:numId="4" w16cid:durableId="645205856">
    <w:abstractNumId w:val="0"/>
  </w:num>
  <w:num w:numId="5" w16cid:durableId="217596350">
    <w:abstractNumId w:val="13"/>
  </w:num>
  <w:num w:numId="6" w16cid:durableId="1888057057">
    <w:abstractNumId w:val="11"/>
  </w:num>
  <w:num w:numId="7" w16cid:durableId="1704135298">
    <w:abstractNumId w:val="7"/>
  </w:num>
  <w:num w:numId="8" w16cid:durableId="153306670">
    <w:abstractNumId w:val="5"/>
  </w:num>
  <w:num w:numId="9" w16cid:durableId="1493332161">
    <w:abstractNumId w:val="15"/>
  </w:num>
  <w:num w:numId="10" w16cid:durableId="1523588022">
    <w:abstractNumId w:val="9"/>
  </w:num>
  <w:num w:numId="11" w16cid:durableId="216354068">
    <w:abstractNumId w:val="6"/>
  </w:num>
  <w:num w:numId="12" w16cid:durableId="544148535">
    <w:abstractNumId w:val="8"/>
  </w:num>
  <w:num w:numId="13" w16cid:durableId="147869865">
    <w:abstractNumId w:val="12"/>
  </w:num>
  <w:num w:numId="14" w16cid:durableId="140273542">
    <w:abstractNumId w:val="10"/>
  </w:num>
  <w:num w:numId="15" w16cid:durableId="848566669">
    <w:abstractNumId w:val="14"/>
  </w:num>
  <w:num w:numId="16" w16cid:durableId="934480472">
    <w:abstractNumId w:val="1"/>
  </w:num>
  <w:num w:numId="17" w16cid:durableId="1681661433">
    <w:abstractNumId w:val="18"/>
  </w:num>
  <w:num w:numId="18" w16cid:durableId="441261987">
    <w:abstractNumId w:val="16"/>
  </w:num>
  <w:num w:numId="19" w16cid:durableId="18093202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1110"/>
    <w:rsid w:val="00001489"/>
    <w:rsid w:val="00005848"/>
    <w:rsid w:val="0002223A"/>
    <w:rsid w:val="00023EC4"/>
    <w:rsid w:val="00024923"/>
    <w:rsid w:val="000250B9"/>
    <w:rsid w:val="00025867"/>
    <w:rsid w:val="0002757C"/>
    <w:rsid w:val="000331F7"/>
    <w:rsid w:val="000367E6"/>
    <w:rsid w:val="00060AB3"/>
    <w:rsid w:val="0007028B"/>
    <w:rsid w:val="000772A2"/>
    <w:rsid w:val="00087B9B"/>
    <w:rsid w:val="000A067C"/>
    <w:rsid w:val="000A45E6"/>
    <w:rsid w:val="000A4ED0"/>
    <w:rsid w:val="000A5196"/>
    <w:rsid w:val="000B11DA"/>
    <w:rsid w:val="000C21BB"/>
    <w:rsid w:val="000C7C18"/>
    <w:rsid w:val="000D10A4"/>
    <w:rsid w:val="000D4C49"/>
    <w:rsid w:val="000E0FA1"/>
    <w:rsid w:val="000E342E"/>
    <w:rsid w:val="000E40F9"/>
    <w:rsid w:val="00120712"/>
    <w:rsid w:val="00125422"/>
    <w:rsid w:val="00132D7A"/>
    <w:rsid w:val="001335C1"/>
    <w:rsid w:val="00150023"/>
    <w:rsid w:val="00155E56"/>
    <w:rsid w:val="001611D7"/>
    <w:rsid w:val="00163179"/>
    <w:rsid w:val="00193A3A"/>
    <w:rsid w:val="001A594A"/>
    <w:rsid w:val="001B28E8"/>
    <w:rsid w:val="001B5206"/>
    <w:rsid w:val="001C22AC"/>
    <w:rsid w:val="001C5F9D"/>
    <w:rsid w:val="001C7330"/>
    <w:rsid w:val="001D0F98"/>
    <w:rsid w:val="001D29D3"/>
    <w:rsid w:val="001D465E"/>
    <w:rsid w:val="001E57D0"/>
    <w:rsid w:val="001F67DD"/>
    <w:rsid w:val="00231793"/>
    <w:rsid w:val="002361A5"/>
    <w:rsid w:val="00236B4E"/>
    <w:rsid w:val="00242A52"/>
    <w:rsid w:val="00253739"/>
    <w:rsid w:val="00255C51"/>
    <w:rsid w:val="0025602B"/>
    <w:rsid w:val="00261CD1"/>
    <w:rsid w:val="00264826"/>
    <w:rsid w:val="00282E73"/>
    <w:rsid w:val="00283AC5"/>
    <w:rsid w:val="002848E1"/>
    <w:rsid w:val="00297511"/>
    <w:rsid w:val="002A1FC9"/>
    <w:rsid w:val="002A2D4C"/>
    <w:rsid w:val="002B3026"/>
    <w:rsid w:val="002E62A7"/>
    <w:rsid w:val="002F7117"/>
    <w:rsid w:val="003031C0"/>
    <w:rsid w:val="00303E89"/>
    <w:rsid w:val="00304ADB"/>
    <w:rsid w:val="0030542F"/>
    <w:rsid w:val="00310DAE"/>
    <w:rsid w:val="00311537"/>
    <w:rsid w:val="00311DDE"/>
    <w:rsid w:val="003124E8"/>
    <w:rsid w:val="00323879"/>
    <w:rsid w:val="00336EB4"/>
    <w:rsid w:val="00345A3B"/>
    <w:rsid w:val="003549E4"/>
    <w:rsid w:val="00357FD4"/>
    <w:rsid w:val="00392610"/>
    <w:rsid w:val="00397FB6"/>
    <w:rsid w:val="003A7984"/>
    <w:rsid w:val="003B14AB"/>
    <w:rsid w:val="003C67A4"/>
    <w:rsid w:val="003D5391"/>
    <w:rsid w:val="003E6CFC"/>
    <w:rsid w:val="003F369C"/>
    <w:rsid w:val="00403E95"/>
    <w:rsid w:val="00404D6A"/>
    <w:rsid w:val="00404F14"/>
    <w:rsid w:val="00413B83"/>
    <w:rsid w:val="00423267"/>
    <w:rsid w:val="004311D4"/>
    <w:rsid w:val="00440EDC"/>
    <w:rsid w:val="00447DD0"/>
    <w:rsid w:val="00451B1D"/>
    <w:rsid w:val="0045667A"/>
    <w:rsid w:val="00457ACD"/>
    <w:rsid w:val="00467227"/>
    <w:rsid w:val="00471FED"/>
    <w:rsid w:val="00473920"/>
    <w:rsid w:val="00476801"/>
    <w:rsid w:val="004B173B"/>
    <w:rsid w:val="004B4475"/>
    <w:rsid w:val="004B52CE"/>
    <w:rsid w:val="004C2F6B"/>
    <w:rsid w:val="004C6C95"/>
    <w:rsid w:val="004D399D"/>
    <w:rsid w:val="004D39FE"/>
    <w:rsid w:val="004D65A3"/>
    <w:rsid w:val="004E367F"/>
    <w:rsid w:val="004E4881"/>
    <w:rsid w:val="004E6F88"/>
    <w:rsid w:val="0050340F"/>
    <w:rsid w:val="00514750"/>
    <w:rsid w:val="00523D0D"/>
    <w:rsid w:val="0052506F"/>
    <w:rsid w:val="005263BF"/>
    <w:rsid w:val="0052790C"/>
    <w:rsid w:val="00533CBC"/>
    <w:rsid w:val="0055080E"/>
    <w:rsid w:val="005512D5"/>
    <w:rsid w:val="00555997"/>
    <w:rsid w:val="00563AAB"/>
    <w:rsid w:val="00565343"/>
    <w:rsid w:val="00571526"/>
    <w:rsid w:val="005870F7"/>
    <w:rsid w:val="00591841"/>
    <w:rsid w:val="00592409"/>
    <w:rsid w:val="005C1D57"/>
    <w:rsid w:val="005C7396"/>
    <w:rsid w:val="005D15F9"/>
    <w:rsid w:val="005D7F25"/>
    <w:rsid w:val="005E5AF0"/>
    <w:rsid w:val="005E5CF0"/>
    <w:rsid w:val="00607CC2"/>
    <w:rsid w:val="006332ED"/>
    <w:rsid w:val="00637018"/>
    <w:rsid w:val="00640235"/>
    <w:rsid w:val="00640580"/>
    <w:rsid w:val="0065255E"/>
    <w:rsid w:val="00666327"/>
    <w:rsid w:val="00670B7D"/>
    <w:rsid w:val="00685851"/>
    <w:rsid w:val="00686144"/>
    <w:rsid w:val="00696955"/>
    <w:rsid w:val="006A432C"/>
    <w:rsid w:val="006A452B"/>
    <w:rsid w:val="006A61BF"/>
    <w:rsid w:val="006B052D"/>
    <w:rsid w:val="006C6C23"/>
    <w:rsid w:val="006C7D17"/>
    <w:rsid w:val="006D126E"/>
    <w:rsid w:val="006E429F"/>
    <w:rsid w:val="006F34AD"/>
    <w:rsid w:val="00700A8A"/>
    <w:rsid w:val="00704499"/>
    <w:rsid w:val="007117F4"/>
    <w:rsid w:val="00722618"/>
    <w:rsid w:val="007333A1"/>
    <w:rsid w:val="0073666A"/>
    <w:rsid w:val="007520F2"/>
    <w:rsid w:val="00757050"/>
    <w:rsid w:val="00764997"/>
    <w:rsid w:val="00765C4A"/>
    <w:rsid w:val="00770C46"/>
    <w:rsid w:val="00775799"/>
    <w:rsid w:val="00781628"/>
    <w:rsid w:val="00782A50"/>
    <w:rsid w:val="00796146"/>
    <w:rsid w:val="00796C95"/>
    <w:rsid w:val="007A013C"/>
    <w:rsid w:val="007A1540"/>
    <w:rsid w:val="007A33F3"/>
    <w:rsid w:val="007A6F87"/>
    <w:rsid w:val="007B0252"/>
    <w:rsid w:val="007C1EAC"/>
    <w:rsid w:val="007C35C5"/>
    <w:rsid w:val="007D3834"/>
    <w:rsid w:val="007D4586"/>
    <w:rsid w:val="007D7856"/>
    <w:rsid w:val="007F0BE1"/>
    <w:rsid w:val="007F0C6D"/>
    <w:rsid w:val="00802CE4"/>
    <w:rsid w:val="00846C79"/>
    <w:rsid w:val="008533BE"/>
    <w:rsid w:val="008656F3"/>
    <w:rsid w:val="00866C80"/>
    <w:rsid w:val="00874CD8"/>
    <w:rsid w:val="008907C8"/>
    <w:rsid w:val="00897B89"/>
    <w:rsid w:val="008A2148"/>
    <w:rsid w:val="008A2C86"/>
    <w:rsid w:val="008A404E"/>
    <w:rsid w:val="008A46CB"/>
    <w:rsid w:val="008B0067"/>
    <w:rsid w:val="008C19D0"/>
    <w:rsid w:val="008C6AEA"/>
    <w:rsid w:val="008C7B25"/>
    <w:rsid w:val="008D0BCA"/>
    <w:rsid w:val="008D3F07"/>
    <w:rsid w:val="008E73AF"/>
    <w:rsid w:val="009131DE"/>
    <w:rsid w:val="00915CBE"/>
    <w:rsid w:val="00927117"/>
    <w:rsid w:val="00940A96"/>
    <w:rsid w:val="00943F64"/>
    <w:rsid w:val="00945B93"/>
    <w:rsid w:val="00960DF7"/>
    <w:rsid w:val="009620BA"/>
    <w:rsid w:val="009665E5"/>
    <w:rsid w:val="0097553D"/>
    <w:rsid w:val="00997EC6"/>
    <w:rsid w:val="009B22E9"/>
    <w:rsid w:val="009B2BA3"/>
    <w:rsid w:val="009B6EF5"/>
    <w:rsid w:val="009C004D"/>
    <w:rsid w:val="009C1A79"/>
    <w:rsid w:val="009D1FD5"/>
    <w:rsid w:val="009E0162"/>
    <w:rsid w:val="009E07CB"/>
    <w:rsid w:val="009E7D9A"/>
    <w:rsid w:val="009F02CB"/>
    <w:rsid w:val="009F4E79"/>
    <w:rsid w:val="009F553F"/>
    <w:rsid w:val="00A07B2E"/>
    <w:rsid w:val="00A16293"/>
    <w:rsid w:val="00A30F87"/>
    <w:rsid w:val="00A42190"/>
    <w:rsid w:val="00A50380"/>
    <w:rsid w:val="00A73E85"/>
    <w:rsid w:val="00A80001"/>
    <w:rsid w:val="00A81A1E"/>
    <w:rsid w:val="00A95F28"/>
    <w:rsid w:val="00A965E1"/>
    <w:rsid w:val="00A9740F"/>
    <w:rsid w:val="00AA16F3"/>
    <w:rsid w:val="00AA792E"/>
    <w:rsid w:val="00AB3924"/>
    <w:rsid w:val="00AB53EB"/>
    <w:rsid w:val="00AB6DC6"/>
    <w:rsid w:val="00AC2399"/>
    <w:rsid w:val="00AE1189"/>
    <w:rsid w:val="00AE4D34"/>
    <w:rsid w:val="00AE6349"/>
    <w:rsid w:val="00B1071D"/>
    <w:rsid w:val="00B20A85"/>
    <w:rsid w:val="00B23009"/>
    <w:rsid w:val="00B3504D"/>
    <w:rsid w:val="00B632A0"/>
    <w:rsid w:val="00B845C0"/>
    <w:rsid w:val="00B96DB9"/>
    <w:rsid w:val="00BA02A9"/>
    <w:rsid w:val="00BA2D6A"/>
    <w:rsid w:val="00BB237B"/>
    <w:rsid w:val="00BB618B"/>
    <w:rsid w:val="00BC1E38"/>
    <w:rsid w:val="00BC5F12"/>
    <w:rsid w:val="00BD319C"/>
    <w:rsid w:val="00BE0FE7"/>
    <w:rsid w:val="00BE646B"/>
    <w:rsid w:val="00BF09F7"/>
    <w:rsid w:val="00BF3465"/>
    <w:rsid w:val="00BF6AB9"/>
    <w:rsid w:val="00C35324"/>
    <w:rsid w:val="00C522FC"/>
    <w:rsid w:val="00C62D20"/>
    <w:rsid w:val="00C661BE"/>
    <w:rsid w:val="00C722FF"/>
    <w:rsid w:val="00C765FA"/>
    <w:rsid w:val="00C93093"/>
    <w:rsid w:val="00C95608"/>
    <w:rsid w:val="00CD5856"/>
    <w:rsid w:val="00D019BB"/>
    <w:rsid w:val="00D02896"/>
    <w:rsid w:val="00D03FCB"/>
    <w:rsid w:val="00D06912"/>
    <w:rsid w:val="00D12702"/>
    <w:rsid w:val="00D31C5B"/>
    <w:rsid w:val="00D370CD"/>
    <w:rsid w:val="00D41D4A"/>
    <w:rsid w:val="00D524CC"/>
    <w:rsid w:val="00D550C8"/>
    <w:rsid w:val="00D5603F"/>
    <w:rsid w:val="00D649FD"/>
    <w:rsid w:val="00D6599F"/>
    <w:rsid w:val="00D72FFE"/>
    <w:rsid w:val="00D90F57"/>
    <w:rsid w:val="00D921BA"/>
    <w:rsid w:val="00D96EA8"/>
    <w:rsid w:val="00D978A3"/>
    <w:rsid w:val="00DC186F"/>
    <w:rsid w:val="00DC43A5"/>
    <w:rsid w:val="00DC45F1"/>
    <w:rsid w:val="00DD24A1"/>
    <w:rsid w:val="00DE1F1C"/>
    <w:rsid w:val="00DE2ABA"/>
    <w:rsid w:val="00DE7337"/>
    <w:rsid w:val="00E02B05"/>
    <w:rsid w:val="00E04357"/>
    <w:rsid w:val="00E3064F"/>
    <w:rsid w:val="00E3130F"/>
    <w:rsid w:val="00E349DA"/>
    <w:rsid w:val="00E40317"/>
    <w:rsid w:val="00E43F66"/>
    <w:rsid w:val="00E44820"/>
    <w:rsid w:val="00E71C8C"/>
    <w:rsid w:val="00E73E21"/>
    <w:rsid w:val="00E84293"/>
    <w:rsid w:val="00E9162B"/>
    <w:rsid w:val="00E94C71"/>
    <w:rsid w:val="00EA73AF"/>
    <w:rsid w:val="00EA7C1D"/>
    <w:rsid w:val="00EB4E7B"/>
    <w:rsid w:val="00EC1FB8"/>
    <w:rsid w:val="00EC6749"/>
    <w:rsid w:val="00ED2A5E"/>
    <w:rsid w:val="00F00CDA"/>
    <w:rsid w:val="00F01EC2"/>
    <w:rsid w:val="00F029C0"/>
    <w:rsid w:val="00F12488"/>
    <w:rsid w:val="00F21783"/>
    <w:rsid w:val="00F23A01"/>
    <w:rsid w:val="00F34236"/>
    <w:rsid w:val="00F36B58"/>
    <w:rsid w:val="00F415DD"/>
    <w:rsid w:val="00F42A6A"/>
    <w:rsid w:val="00F502D5"/>
    <w:rsid w:val="00F55D27"/>
    <w:rsid w:val="00F569D5"/>
    <w:rsid w:val="00F657BA"/>
    <w:rsid w:val="00F85298"/>
    <w:rsid w:val="00F85CAB"/>
    <w:rsid w:val="00F879CA"/>
    <w:rsid w:val="00F87F46"/>
    <w:rsid w:val="00F91961"/>
    <w:rsid w:val="00F92D74"/>
    <w:rsid w:val="00FA0348"/>
    <w:rsid w:val="00FC3733"/>
    <w:rsid w:val="00FC63BA"/>
    <w:rsid w:val="00FC671C"/>
    <w:rsid w:val="00FC67BF"/>
    <w:rsid w:val="00FD0DEA"/>
    <w:rsid w:val="00FF22C9"/>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2.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1276</Words>
  <Characters>7470</Characters>
  <Application>Microsoft Office Word</Application>
  <DocSecurity>0</DocSecurity>
  <Lines>257</Lines>
  <Paragraphs>168</Paragraphs>
  <ScaleCrop>false</ScaleCrop>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Simon Booth</cp:lastModifiedBy>
  <cp:revision>42</cp:revision>
  <cp:lastPrinted>2025-09-08T13:47:00Z</cp:lastPrinted>
  <dcterms:created xsi:type="dcterms:W3CDTF">2025-09-08T13:16:00Z</dcterms:created>
  <dcterms:modified xsi:type="dcterms:W3CDTF">2025-09-08T13:58:00Z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