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211" w:type="dxa"/>
        <w:jc w:val="left"/>
        <w:tblInd w:w="0" w:type="dxa"/>
        <w:tblCellMar>
          <w:top w:w="0" w:type="dxa"/>
          <w:left w:w="108" w:type="dxa"/>
          <w:bottom w:w="0" w:type="dxa"/>
          <w:right w:w="108" w:type="dxa"/>
        </w:tblCellMar>
      </w:tblPr>
      <w:tblGrid>
        <w:gridCol w:w="3964"/>
        <w:gridCol w:w="2127"/>
        <w:gridCol w:w="4120"/>
      </w:tblGrid>
      <w:tr>
        <w:trPr>
          <w:trHeight w:val="260" w:hRule="atLeast"/>
        </w:trPr>
        <w:tc>
          <w:tcPr>
            <w:tcW w:w="396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127"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4120"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964"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Curriculum Support/Cover Supervisor</w:t>
            </w:r>
          </w:p>
        </w:tc>
        <w:tc>
          <w:tcPr>
            <w:tcW w:w="2127"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5</w:t>
            </w:r>
          </w:p>
        </w:tc>
        <w:tc>
          <w:tcPr>
            <w:tcW w:w="41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Curriculum Leader/Office Manager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ListParagraph"/>
        <w:numPr>
          <w:ilvl w:val="0"/>
          <w:numId w:val="3"/>
        </w:numPr>
        <w:rPr>
          <w:rFonts w:ascii="Calibri" w:hAnsi="Calibri" w:cs="Calibri"/>
          <w:bCs/>
        </w:rPr>
      </w:pPr>
      <w:r>
        <w:rPr>
          <w:rFonts w:cs="Calibri" w:ascii="Calibri" w:hAnsi="Calibr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pPr>
        <w:pStyle w:val="ListParagraph"/>
        <w:numPr>
          <w:ilvl w:val="0"/>
          <w:numId w:val="3"/>
        </w:numPr>
        <w:rPr>
          <w:rFonts w:ascii="Calibri" w:hAnsi="Calibri" w:cs="Calibri"/>
          <w:bCs/>
        </w:rPr>
      </w:pPr>
      <w:r>
        <w:rPr>
          <w:rFonts w:cs="Calibri" w:ascii="Calibri" w:hAnsi="Calibri"/>
          <w:bCs/>
        </w:rPr>
        <w:t>To be responsible for supporting the management and development of a specialist area in school or across a department, and or leading and deploying teaching assistants in addressing the needs of students who require help to overcome barriers to learning</w:t>
      </w:r>
    </w:p>
    <w:p>
      <w:pPr>
        <w:pStyle w:val="ListParagraph"/>
        <w:numPr>
          <w:ilvl w:val="0"/>
          <w:numId w:val="3"/>
        </w:numPr>
        <w:rPr>
          <w:rFonts w:ascii="Calibri" w:hAnsi="Calibri" w:cs="Calibri"/>
          <w:bCs/>
        </w:rPr>
      </w:pPr>
      <w:r>
        <w:rPr>
          <w:rFonts w:cs="Calibri" w:ascii="Calibri" w:hAnsi="Calibri"/>
          <w:bCs/>
        </w:rPr>
        <w:t>To work in collaboration with teaching colleagues to co-ordinate and plan schemes of work to be used by teaching assistants undertaking specified teaching work</w:t>
      </w:r>
    </w:p>
    <w:p>
      <w:pPr>
        <w:pStyle w:val="ListParagraph"/>
        <w:numPr>
          <w:ilvl w:val="0"/>
          <w:numId w:val="3"/>
        </w:numPr>
        <w:rPr>
          <w:rFonts w:ascii="Calibri" w:hAnsi="Calibri" w:cs="Calibri"/>
          <w:bCs/>
        </w:rPr>
      </w:pPr>
      <w:r>
        <w:rPr>
          <w:rFonts w:cs="Calibri" w:ascii="Calibri" w:hAnsi="Calibri"/>
          <w:bCs/>
        </w:rPr>
        <w:t>Contribute to Senior Management Team or Departmental Management Team</w:t>
      </w:r>
    </w:p>
    <w:p>
      <w:pPr>
        <w:pStyle w:val="ListParagraph"/>
        <w:numPr>
          <w:ilvl w:val="0"/>
          <w:numId w:val="3"/>
        </w:numPr>
        <w:rPr>
          <w:rFonts w:ascii="Calibri" w:hAnsi="Calibri" w:cs="Calibri"/>
          <w:bCs/>
        </w:rPr>
      </w:pPr>
      <w:r>
        <w:rPr>
          <w:rFonts w:cs="Calibri" w:ascii="Calibri" w:hAnsi="Calibri"/>
          <w:bCs/>
        </w:rPr>
        <w:t>Line management, supervision of support staff, including implementation of performance management procedures.</w:t>
      </w:r>
    </w:p>
    <w:p>
      <w:pPr>
        <w:pStyle w:val="Normal"/>
        <w:jc w:val="both"/>
        <w:rPr>
          <w:rFonts w:ascii="Calibri" w:hAnsi="Calibri" w:cs="Calibri"/>
        </w:rPr>
      </w:pPr>
      <w:r>
        <w:rPr>
          <w:rFonts w:cs="Calibri" w:ascii="Calibri" w:hAnsi="Calibri"/>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jc w:val="both"/>
        <w:rPr>
          <w:rFonts w:ascii="Calibri" w:hAnsi="Calibri" w:eastAsia="Calibri" w:cs="Calibri"/>
          <w:bCs/>
        </w:rPr>
      </w:pPr>
      <w:r>
        <w:rPr>
          <w:rFonts w:eastAsia="Calibri" w:cs="Calibri" w:ascii="Calibri" w:hAnsi="Calibri"/>
          <w:bCs/>
        </w:rPr>
        <w:t xml:space="preserve">The post holder will report to the Teacher / Senior Teaching Assistant. Apart from other colleagues in the school, the main contacts of the job are: Head Teacher, teaching staff, other support staff and pupils. </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rPr>
          <w:rFonts w:ascii="Calibri" w:hAnsi="Calibri" w:cs="Calibri"/>
        </w:rPr>
      </w:pPr>
      <w:r>
        <w:rPr>
          <w:rFonts w:cs="Calibri" w:ascii="Calibri" w:hAnsi="Calibri"/>
        </w:rPr>
        <w:t xml:space="preserve">To take responsibility for groups or classes of students in the short-term absence of their usual teacher. In this context, the Cover Supervisor will be responsible for: </w:t>
      </w:r>
    </w:p>
    <w:p>
      <w:pPr>
        <w:pStyle w:val="Normal"/>
        <w:rPr>
          <w:rFonts w:ascii="Calibri" w:hAnsi="Calibri" w:cs="Calibri"/>
        </w:rPr>
      </w:pPr>
      <w:r>
        <w:rPr>
          <w:rFonts w:cs="Calibri" w:ascii="Calibri" w:hAnsi="Calibri"/>
        </w:rPr>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Supervising work that has been set in accordance with school policy</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Liaising with teaching staff regarding work set for a class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Managing the behaviour of students to ensure a constructive environment whilst undertaking work</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Responding to any questions from students about process and procedure</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 xml:space="preserve">Dealing with any immediate problems or emergencies in accordance with the school's policies and procedures </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Collecting any completed work and resources after the lesson and returning them to the appropriate teacher or subject leader</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Reporting back, as appropriate, using the school's agreed referral procedures, on the behaviour of students during the class, and any other issues arising</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Student registration of a class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In a controlled environment, to supervise students who have been isolated from their peers as a behaviour sanction</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To support the work of one or more curriculum areas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To take part in whole school INSET activities to enhance job effectiveness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To accompany students on trips, visits and other educational activities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 xml:space="preserve">To undertake a ‘duty’ as part of the school’s duty system (including break and lunch) </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Support the work of classroom teachers when not deployed directly covering a class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Support and contribute to the development of resources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Support and contribute to the creation and maintenance of classroom displays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Invigilate internal and/or external examinations</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To act as a First Aider, for which training will be provided and an extra allowance payable upon qualification</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To support other areas of the school when demand for cover is low</w:t>
      </w:r>
    </w:p>
    <w:p>
      <w:pPr>
        <w:pStyle w:val="ListParagraph"/>
        <w:widowControl/>
        <w:numPr>
          <w:ilvl w:val="0"/>
          <w:numId w:val="2"/>
        </w:numPr>
        <w:tabs>
          <w:tab w:val="clear" w:pos="720"/>
          <w:tab w:val="left" w:pos="284" w:leader="none"/>
        </w:tabs>
        <w:spacing w:lineRule="auto" w:line="276" w:before="0" w:after="160"/>
        <w:ind w:left="709" w:right="0" w:hanging="425"/>
        <w:contextualSpacing/>
        <w:rPr>
          <w:rFonts w:ascii="Calibri" w:hAnsi="Calibri" w:cs="Calibri"/>
        </w:rPr>
      </w:pPr>
      <w:r>
        <w:rPr>
          <w:rFonts w:cs="Calibri" w:ascii="Calibri" w:hAnsi="Calibri"/>
        </w:rPr>
        <w:t>Provide effective feedback to students in relation to progress and achievement</w:t>
      </w:r>
    </w:p>
    <w:p>
      <w:pPr>
        <w:pStyle w:val="Normal"/>
        <w:rPr>
          <w:rFonts w:ascii="Calibri" w:hAnsi="Calibri" w:cs="Calibri"/>
        </w:rPr>
      </w:pPr>
      <w:r>
        <w:rPr>
          <w:rFonts w:cs="Calibri" w:ascii="Calibri" w:hAnsi="Calibri"/>
        </w:rPr>
        <w:t>This is a supervisory post rather than a teaching post and is open to applicants without a teaching qualification</w:t>
      </w:r>
    </w:p>
    <w:p>
      <w:pPr>
        <w:pStyle w:val="Normal"/>
        <w:spacing w:lineRule="auto" w:line="276"/>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Effectively represent the Trust when liaising with contractors and outside agencies/organisations.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Demonstrate tact and diplomacy in all interpersonal relationships with the public, pupils, parents and colleagues.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lineRule="auto" w:line="276" w:before="0" w:after="160"/>
        <w:ind w:left="426" w:right="0" w:hanging="426"/>
        <w:contextualSpacing/>
        <w:rPr>
          <w:rFonts w:ascii="Calibri" w:hAnsi="Calibri" w:cs="Calibri"/>
        </w:rPr>
      </w:pPr>
      <w:r>
        <w:rPr>
          <w:rFonts w:cs="Calibri" w:ascii="Calibri" w:hAnsi="Calibri"/>
        </w:rPr>
        <w:t>Demonstrate a commitment to continuous professional development and support the Performance Management process.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Attend Trust and school events as required and make a positive contribution during such events.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Attend regular meetings before and after Trust hours, including morning briefings.</w:t>
      </w:r>
    </w:p>
    <w:p>
      <w:pPr>
        <w:pStyle w:val="ListParagraph"/>
        <w:widowControl/>
        <w:numPr>
          <w:ilvl w:val="0"/>
          <w:numId w:val="2"/>
        </w:numPr>
        <w:spacing w:lineRule="auto" w:line="276" w:before="0" w:after="160"/>
        <w:ind w:left="426" w:right="0" w:hanging="426"/>
        <w:contextualSpacing/>
        <w:rPr>
          <w:rFonts w:ascii="Calibri" w:hAnsi="Calibri" w:eastAsia="Calibri" w:cs="Calibri"/>
          <w:lang w:bidi="ar-SA"/>
        </w:rPr>
      </w:pPr>
      <w:r>
        <w:rPr>
          <w:rFonts w:eastAsia="Calibri" w:cs="Calibri" w:ascii="Calibri" w:hAnsi="Calibri"/>
          <w:lang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p>
      <w:pPr>
        <w:pStyle w:val="Normal"/>
        <w:rPr>
          <w:rFonts w:ascii="Calibri" w:hAnsi="Calibri" w:cs="Calibri"/>
          <w:b/>
          <w:b/>
          <w:bCs/>
          <w:color w:val="FF0000"/>
          <w:sz w:val="24"/>
          <w:szCs w:val="24"/>
        </w:rPr>
      </w:pPr>
      <w:r>
        <w:rPr>
          <w:rFonts w:cs="Calibri" w:ascii="Calibri" w:hAnsi="Calibri"/>
          <w:b/>
          <w:bCs/>
          <w:color w:val="FF0000"/>
          <w:sz w:val="24"/>
          <w:szCs w:val="24"/>
        </w:rPr>
      </w:r>
    </w:p>
    <w:tbl>
      <w:tblPr>
        <w:tblW w:w="10541" w:type="dxa"/>
        <w:jc w:val="left"/>
        <w:tblInd w:w="0" w:type="dxa"/>
        <w:tblCellMar>
          <w:top w:w="0" w:type="dxa"/>
          <w:left w:w="108" w:type="dxa"/>
          <w:bottom w:w="0" w:type="dxa"/>
          <w:right w:w="108" w:type="dxa"/>
        </w:tblCellMar>
      </w:tblPr>
      <w:tblGrid>
        <w:gridCol w:w="6985"/>
        <w:gridCol w:w="1232"/>
        <w:gridCol w:w="2324"/>
      </w:tblGrid>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Person Specification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Essential / 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Qualifications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Good numeracy and literacy skills (at a level equivalent to NVQ Level 2)</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Knowledge and Experience</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Experience of working with or caring for children of a relevant age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Ability to relate well to children and adults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Ability to work as part of a team</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An understanding of the role of the Teaching Assistant and other professionals working in the classroom</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Understanding of national/foundation stage curriculum and other basic learning programmes/strategies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Basic understanding of child development and learning</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eastAsia="Times New Roman" w:cs="Calibri"/>
                <w:lang w:val="en-US"/>
              </w:rPr>
            </w:pPr>
            <w:r>
              <w:rPr>
                <w:rFonts w:eastAsia="Times New Roman" w:cs="Calibri" w:ascii="Calibri" w:hAnsi="Calibri"/>
                <w:lang w:val="en-US"/>
              </w:rPr>
              <w:t>Willingness to undertake minor first aid training as appropriate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Behaviours and Values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Demonstrate a commitment to maintaining and developing professional knowledge and skills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Tact and diplomacy in interpersonal relationships with all stakeholders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To be flexible and able to adapt and prioritise appropriately</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bl>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spacing w:lineRule="auto" w:line="276"/>
        <w:jc w:val="both"/>
        <w:rPr>
          <w:rFonts w:ascii="Calibri" w:hAnsi="Calibri" w:cs="Calibri"/>
          <w:b/>
          <w:b/>
          <w:u w:val="single"/>
        </w:rPr>
      </w:pPr>
      <w:r>
        <w:rPr>
          <w:rFonts w:cs="Calibri" w:ascii="Calibri" w:hAnsi="Calibri"/>
          <w:b/>
          <w:u w:val="single"/>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r>
        <w:rPr>
          <w:rFonts w:cs="Calibri" w:ascii="Calibri" w:hAnsi="Calibri"/>
          <w:sz w:val="21"/>
          <w:szCs w:val="21"/>
        </w:rPr>
        <w:t>.</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3</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4">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3">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rFonts w:ascii="Calibri" w:hAnsi="Calibri" w:cs="Calibri"/>
                              <w:b/>
                              <w:b/>
                              <w:bCs/>
                              <w:color w:val="38B6AB"/>
                              <w:sz w:val="44"/>
                              <w:szCs w:val="44"/>
                            </w:rPr>
                          </w:pP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rFonts w:ascii="Calibri" w:hAnsi="Calibri" w:cs="Calibri"/>
                        <w:b/>
                        <w:b/>
                        <w:bCs/>
                        <w:color w:val="38B6AB"/>
                        <w:sz w:val="44"/>
                        <w:szCs w:val="44"/>
                      </w:rPr>
                    </w:pP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7">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0">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2021-12-06T14:27:00Z</dcterms:created>
  <dc:creator>Andi Bryan</dc:creator>
  <dc:description/>
  <dc:language>en-US</dc:language>
  <cp:lastModifiedBy>Dayna Williams</cp:lastModifiedBy>
  <cp:lastPrinted>1995-11-21T17:41:00Z</cp:lastPrinted>
  <dcterms:modified xsi:type="dcterms:W3CDTF">2024-04-02T09:37:00Z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0x010100523DD658E01E1644B43858086A51D5D4</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