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32D64" w14:textId="77777777" w:rsidR="00FD674F" w:rsidRPr="00856147" w:rsidRDefault="00FD674F" w:rsidP="00FD674F">
      <w:pPr>
        <w:ind w:left="-907" w:right="-907"/>
        <w:jc w:val="both"/>
        <w:rPr>
          <w:rFonts w:asciiTheme="majorHAnsi" w:hAnsiTheme="majorHAnsi" w:cstheme="minorHAnsi"/>
          <w:b/>
          <w:sz w:val="28"/>
        </w:rPr>
      </w:pPr>
      <w:r w:rsidRPr="00856147">
        <w:rPr>
          <w:rFonts w:asciiTheme="majorHAnsi" w:hAnsiTheme="majorHAnsi" w:cstheme="minorHAnsi"/>
          <w:b/>
          <w:noProof/>
          <w:sz w:val="28"/>
          <w:lang w:eastAsia="en-GB"/>
        </w:rPr>
        <w:drawing>
          <wp:anchor distT="0" distB="0" distL="114300" distR="114300" simplePos="0" relativeHeight="251659264" behindDoc="1" locked="0" layoutInCell="1" allowOverlap="1" wp14:anchorId="42125346" wp14:editId="5411702E">
            <wp:simplePos x="0" y="0"/>
            <wp:positionH relativeFrom="column">
              <wp:posOffset>3859530</wp:posOffset>
            </wp:positionH>
            <wp:positionV relativeFrom="paragraph">
              <wp:posOffset>-158750</wp:posOffset>
            </wp:positionV>
            <wp:extent cx="2167255" cy="7683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BE landscap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7255" cy="768350"/>
                    </a:xfrm>
                    <a:prstGeom prst="rect">
                      <a:avLst/>
                    </a:prstGeom>
                  </pic:spPr>
                </pic:pic>
              </a:graphicData>
            </a:graphic>
            <wp14:sizeRelH relativeFrom="page">
              <wp14:pctWidth>0</wp14:pctWidth>
            </wp14:sizeRelH>
            <wp14:sizeRelV relativeFrom="page">
              <wp14:pctHeight>0</wp14:pctHeight>
            </wp14:sizeRelV>
          </wp:anchor>
        </w:drawing>
      </w:r>
      <w:r w:rsidRPr="00856147">
        <w:rPr>
          <w:rFonts w:asciiTheme="majorHAnsi" w:eastAsiaTheme="minorEastAsia" w:hAnsiTheme="majorHAnsi" w:cstheme="minorHAnsi"/>
          <w:b/>
          <w:bCs/>
          <w:sz w:val="28"/>
          <w:szCs w:val="28"/>
        </w:rPr>
        <w:t>Board of Education</w:t>
      </w:r>
    </w:p>
    <w:p w14:paraId="5F1109B4"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Diocesan Offices</w:t>
      </w:r>
    </w:p>
    <w:p w14:paraId="2BAE16F5"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Clayton House</w:t>
      </w:r>
    </w:p>
    <w:p w14:paraId="50B383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Walker Office Park</w:t>
      </w:r>
    </w:p>
    <w:p w14:paraId="11C11A0F"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Blackburn</w:t>
      </w:r>
    </w:p>
    <w:p w14:paraId="381179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BB1 2QE</w:t>
      </w:r>
    </w:p>
    <w:p w14:paraId="11678699" w14:textId="77777777" w:rsidR="00FD674F" w:rsidRPr="00856147" w:rsidRDefault="00FD674F" w:rsidP="00FD674F">
      <w:pPr>
        <w:ind w:left="-907" w:right="-907"/>
        <w:jc w:val="both"/>
        <w:rPr>
          <w:rFonts w:asciiTheme="majorHAnsi" w:hAnsiTheme="majorHAnsi" w:cstheme="minorHAnsi"/>
          <w:sz w:val="22"/>
        </w:rPr>
      </w:pPr>
    </w:p>
    <w:p w14:paraId="4BA34637"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Tel. 01254 503070</w:t>
      </w:r>
    </w:p>
    <w:p w14:paraId="51C99361" w14:textId="77777777" w:rsidR="00FD674F" w:rsidRPr="00FD674F" w:rsidRDefault="00FD674F" w:rsidP="00FD674F">
      <w:pPr>
        <w:ind w:left="-907" w:right="-907"/>
        <w:jc w:val="both"/>
        <w:rPr>
          <w:rFonts w:ascii="Open Sans" w:hAnsi="Open Sans" w:cs="Open Sans"/>
          <w:sz w:val="20"/>
          <w:szCs w:val="20"/>
        </w:rPr>
      </w:pPr>
    </w:p>
    <w:p w14:paraId="3D27E38E" w14:textId="77777777" w:rsidR="00FD674F" w:rsidRPr="00FD674F" w:rsidRDefault="00FD674F" w:rsidP="00FD674F">
      <w:pPr>
        <w:ind w:left="-907" w:right="-270"/>
        <w:jc w:val="both"/>
        <w:rPr>
          <w:rFonts w:ascii="Open Sans" w:hAnsi="Open Sans" w:cs="Open Sans"/>
          <w:b/>
          <w:sz w:val="20"/>
          <w:szCs w:val="20"/>
        </w:rPr>
      </w:pPr>
      <w:bookmarkStart w:id="0" w:name="_GoBack"/>
      <w:bookmarkEnd w:id="0"/>
    </w:p>
    <w:p w14:paraId="7DAA52EE" w14:textId="77777777" w:rsidR="00FD674F" w:rsidRPr="00FD674F" w:rsidRDefault="00FD674F" w:rsidP="00FD674F">
      <w:pPr>
        <w:ind w:right="-270"/>
        <w:jc w:val="both"/>
        <w:rPr>
          <w:rFonts w:ascii="Open Sans" w:hAnsi="Open Sans" w:cs="Open Sans"/>
          <w:b/>
          <w:sz w:val="20"/>
          <w:szCs w:val="20"/>
        </w:rPr>
      </w:pPr>
    </w:p>
    <w:p w14:paraId="0A3C5E7D"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 xml:space="preserve">The Diocese </w:t>
      </w:r>
    </w:p>
    <w:p w14:paraId="490195C9" w14:textId="77777777" w:rsidR="00FD674F" w:rsidRPr="00FD674F" w:rsidRDefault="00FD674F" w:rsidP="00FD674F">
      <w:pPr>
        <w:ind w:left="-907" w:right="-270"/>
        <w:jc w:val="both"/>
        <w:rPr>
          <w:rFonts w:ascii="Open Sans" w:hAnsi="Open Sans" w:cs="Open Sans"/>
          <w:b/>
          <w:sz w:val="20"/>
          <w:szCs w:val="20"/>
        </w:rPr>
      </w:pPr>
    </w:p>
    <w:p w14:paraId="5CDC1895"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Diocese of Blackburn covers most of the County of Lancashire, the Unitary Authorities of Blackburn with Darwen, Blackpool and part of the Metropolitan Borough of Wigan.</w:t>
      </w:r>
    </w:p>
    <w:p w14:paraId="02A800CC" w14:textId="77777777" w:rsidR="00FD674F" w:rsidRPr="00FD674F" w:rsidRDefault="00FD674F" w:rsidP="00FD674F">
      <w:pPr>
        <w:ind w:left="-907" w:right="-270"/>
        <w:jc w:val="both"/>
        <w:rPr>
          <w:rFonts w:ascii="Open Sans" w:hAnsi="Open Sans" w:cs="Open Sans"/>
          <w:sz w:val="20"/>
          <w:szCs w:val="20"/>
        </w:rPr>
      </w:pPr>
    </w:p>
    <w:p w14:paraId="02333E79"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 xml:space="preserve">There are 211 parishes and 280 churches within the Diocese, divided into two arch deaneries, served by the Bishop of Blackburn and his two </w:t>
      </w:r>
      <w:proofErr w:type="spellStart"/>
      <w:r w:rsidRPr="00FD674F">
        <w:rPr>
          <w:rFonts w:ascii="Open Sans" w:eastAsiaTheme="minorEastAsia" w:hAnsi="Open Sans" w:cs="Open Sans"/>
          <w:sz w:val="20"/>
          <w:szCs w:val="20"/>
        </w:rPr>
        <w:t>Suffragan</w:t>
      </w:r>
      <w:proofErr w:type="spellEnd"/>
      <w:r w:rsidRPr="00FD674F">
        <w:rPr>
          <w:rFonts w:ascii="Open Sans" w:eastAsiaTheme="minorEastAsia" w:hAnsi="Open Sans" w:cs="Open Sans"/>
          <w:sz w:val="20"/>
          <w:szCs w:val="20"/>
        </w:rPr>
        <w:t xml:space="preserve"> Bishops of Burnley and Lancaster.</w:t>
      </w:r>
    </w:p>
    <w:p w14:paraId="02F04975" w14:textId="77777777" w:rsidR="00FD674F" w:rsidRPr="00FD674F" w:rsidRDefault="00FD674F" w:rsidP="00FD674F">
      <w:pPr>
        <w:ind w:left="-907" w:right="-270"/>
        <w:jc w:val="both"/>
        <w:rPr>
          <w:rFonts w:ascii="Open Sans" w:hAnsi="Open Sans" w:cs="Open Sans"/>
          <w:sz w:val="20"/>
          <w:szCs w:val="20"/>
        </w:rPr>
      </w:pPr>
    </w:p>
    <w:p w14:paraId="573EB908"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The Diocese and its schools</w:t>
      </w:r>
    </w:p>
    <w:p w14:paraId="1C4D4E94" w14:textId="77777777" w:rsidR="00FD674F" w:rsidRPr="00FD674F" w:rsidRDefault="00FD674F" w:rsidP="00FD674F">
      <w:pPr>
        <w:ind w:left="-907" w:right="-270"/>
        <w:jc w:val="both"/>
        <w:rPr>
          <w:rFonts w:ascii="Open Sans" w:hAnsi="Open Sans" w:cs="Open Sans"/>
          <w:b/>
          <w:sz w:val="20"/>
          <w:szCs w:val="20"/>
        </w:rPr>
      </w:pPr>
    </w:p>
    <w:p w14:paraId="5CCC38E3"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 xml:space="preserve">No other Diocese has such an extensive commitment to Church of England and Methodist schools. The diocese has some of the most distinctive schools, most of which are aided or formerly aided. There are a small number of church academies in comparison with many being part of three multi-academy trusts that have church majority membership. Schools range in size from 1600 pupils in the largest to small primary schools in rural communities with less than 30 on roll, educating over 44 000 students </w:t>
      </w:r>
      <w:proofErr w:type="gramStart"/>
      <w:r w:rsidRPr="00FD674F">
        <w:rPr>
          <w:rFonts w:ascii="Open Sans" w:eastAsiaTheme="minorEastAsia" w:hAnsi="Open Sans" w:cs="Open Sans"/>
          <w:sz w:val="20"/>
          <w:szCs w:val="20"/>
        </w:rPr>
        <w:t>on a daily basis</w:t>
      </w:r>
      <w:proofErr w:type="gramEnd"/>
      <w:r w:rsidRPr="00FD674F">
        <w:rPr>
          <w:rFonts w:ascii="Open Sans" w:eastAsiaTheme="minorEastAsia" w:hAnsi="Open Sans" w:cs="Open Sans"/>
          <w:sz w:val="20"/>
          <w:szCs w:val="20"/>
        </w:rPr>
        <w:t>.</w:t>
      </w:r>
    </w:p>
    <w:p w14:paraId="21AF545A" w14:textId="77777777" w:rsidR="00FD674F" w:rsidRPr="00FD674F" w:rsidRDefault="00FD674F" w:rsidP="00FD674F">
      <w:pPr>
        <w:ind w:left="-907" w:right="-270"/>
        <w:jc w:val="both"/>
        <w:rPr>
          <w:rFonts w:ascii="Open Sans" w:hAnsi="Open Sans" w:cs="Open Sans"/>
          <w:sz w:val="20"/>
          <w:szCs w:val="20"/>
        </w:rPr>
      </w:pPr>
    </w:p>
    <w:p w14:paraId="5E43CC26"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 xml:space="preserve">The Diocese, like the Church of England nationally, believes that church school education stands at the centre of the church’s mission and rigorously promotes the distinctive nature of church schools. Church schools </w:t>
      </w:r>
      <w:proofErr w:type="spellStart"/>
      <w:r w:rsidRPr="00FD674F">
        <w:rPr>
          <w:rFonts w:ascii="Open Sans" w:eastAsiaTheme="minorEastAsia" w:hAnsi="Open Sans" w:cs="Open Sans"/>
          <w:sz w:val="20"/>
          <w:szCs w:val="20"/>
        </w:rPr>
        <w:t>endeavor</w:t>
      </w:r>
      <w:proofErr w:type="spellEnd"/>
      <w:r w:rsidRPr="00FD674F">
        <w:rPr>
          <w:rFonts w:ascii="Open Sans" w:eastAsiaTheme="minorEastAsia" w:hAnsi="Open Sans" w:cs="Open Sans"/>
          <w:sz w:val="20"/>
          <w:szCs w:val="20"/>
        </w:rPr>
        <w:t xml:space="preserve"> to ensure that a Christian perspective informs all aspects of life. This is reflected in our promotion of Christian belief and values throughout the whole curriculum, the high priority given to worship and religious education and in the Christian nurture and care afforded to all members of the school community.</w:t>
      </w:r>
    </w:p>
    <w:p w14:paraId="69FBA445" w14:textId="77777777" w:rsidR="00FD674F" w:rsidRPr="00FD674F" w:rsidRDefault="00FD674F" w:rsidP="00FD674F">
      <w:pPr>
        <w:ind w:left="-907" w:right="-270"/>
        <w:jc w:val="both"/>
        <w:rPr>
          <w:rFonts w:ascii="Open Sans" w:hAnsi="Open Sans" w:cs="Open Sans"/>
          <w:sz w:val="20"/>
          <w:szCs w:val="20"/>
        </w:rPr>
      </w:pPr>
    </w:p>
    <w:p w14:paraId="75D9DC6E"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Diocesan support for Church education</w:t>
      </w:r>
    </w:p>
    <w:p w14:paraId="41EA6158" w14:textId="77777777" w:rsidR="00FD674F" w:rsidRPr="00FD674F" w:rsidRDefault="00FD674F" w:rsidP="00FD674F">
      <w:pPr>
        <w:ind w:left="-907" w:right="-270"/>
        <w:jc w:val="both"/>
        <w:rPr>
          <w:rFonts w:ascii="Open Sans" w:hAnsi="Open Sans" w:cs="Open Sans"/>
          <w:b/>
          <w:sz w:val="20"/>
          <w:szCs w:val="20"/>
        </w:rPr>
      </w:pPr>
    </w:p>
    <w:p w14:paraId="57A550B2"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staff of the Diocesan Board of Education provide a considerable range of services to the schools of the Diocese: governor training, preparation of policies, advice before and after Inspection, SIAMs Inspection service, Admission/appeal advice, support for religious education and worship, legal, practical and financial help for Aided school buildings, negotiations with local authorities, the Church of England Education Office and the DFE.</w:t>
      </w:r>
    </w:p>
    <w:p w14:paraId="7C15B3CC" w14:textId="77777777" w:rsidR="00FD674F" w:rsidRPr="00FD674F" w:rsidRDefault="00FD674F" w:rsidP="00FD674F">
      <w:pPr>
        <w:ind w:left="-907" w:right="-270"/>
        <w:jc w:val="both"/>
        <w:rPr>
          <w:rFonts w:ascii="Open Sans" w:hAnsi="Open Sans" w:cs="Open Sans"/>
          <w:sz w:val="20"/>
          <w:szCs w:val="20"/>
        </w:rPr>
      </w:pPr>
    </w:p>
    <w:p w14:paraId="679F91F7"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In addition, a co-operative approach has been developed with the Methodist Church and its education officers for the support of Methodist schools in the North West Districts. There is also very close liaison between the Church of England Dioceses in the North of England.</w:t>
      </w:r>
    </w:p>
    <w:p w14:paraId="6FAFB07B" w14:textId="77777777" w:rsidR="00FD674F" w:rsidRPr="00856147" w:rsidRDefault="00FD674F" w:rsidP="00FD674F">
      <w:pPr>
        <w:ind w:right="-270"/>
        <w:jc w:val="both"/>
        <w:rPr>
          <w:rFonts w:asciiTheme="majorHAnsi" w:hAnsiTheme="majorHAnsi" w:cstheme="minorHAnsi"/>
          <w:i/>
          <w:sz w:val="22"/>
        </w:rPr>
      </w:pPr>
    </w:p>
    <w:p w14:paraId="6FC9969D" w14:textId="77777777" w:rsidR="00A520EC" w:rsidRDefault="00A520EC" w:rsidP="00B62E8E"/>
    <w:sectPr w:rsidR="00A52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8E"/>
    <w:rsid w:val="00A520EC"/>
    <w:rsid w:val="00B62E8E"/>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E21A"/>
  <w15:chartTrackingRefBased/>
  <w15:docId w15:val="{96609BFB-11A1-49DE-98FA-FEE46B3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Wilby</dc:creator>
  <cp:keywords/>
  <dc:description/>
  <cp:lastModifiedBy>Stephen Whittaker</cp:lastModifiedBy>
  <cp:revision>2</cp:revision>
  <dcterms:created xsi:type="dcterms:W3CDTF">2020-01-30T14:27:00Z</dcterms:created>
  <dcterms:modified xsi:type="dcterms:W3CDTF">2020-07-20T10:07:00Z</dcterms:modified>
</cp:coreProperties>
</file>