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09" w:rsidRDefault="00F52ECC">
      <w:pPr>
        <w:pBdr>
          <w:top w:val="nil"/>
          <w:left w:val="nil"/>
          <w:bottom w:val="nil"/>
          <w:right w:val="nil"/>
          <w:between w:val="nil"/>
        </w:pBdr>
        <w:ind w:left="-1134" w:hanging="36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17749" cy="936977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749" cy="9369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3809" w:rsidRDefault="00453809">
      <w:pPr>
        <w:rPr>
          <w:sz w:val="20"/>
          <w:szCs w:val="20"/>
        </w:rPr>
      </w:pPr>
    </w:p>
    <w:tbl>
      <w:tblPr>
        <w:tblStyle w:val="a"/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"/>
        <w:gridCol w:w="4310"/>
        <w:gridCol w:w="4678"/>
      </w:tblGrid>
      <w:tr w:rsidR="00453809">
        <w:trPr>
          <w:trHeight w:val="1020"/>
        </w:trPr>
        <w:tc>
          <w:tcPr>
            <w:tcW w:w="10065" w:type="dxa"/>
            <w:gridSpan w:val="4"/>
            <w:tcBorders>
              <w:bottom w:val="single" w:sz="4" w:space="0" w:color="000000"/>
            </w:tcBorders>
            <w:shd w:val="clear" w:color="auto" w:fill="C0396E"/>
          </w:tcPr>
          <w:p w:rsidR="00453809" w:rsidRDefault="00453809">
            <w:pPr>
              <w:rPr>
                <w:b/>
              </w:rPr>
            </w:pPr>
          </w:p>
          <w:p w:rsidR="00453809" w:rsidRDefault="00F52ECC">
            <w:pPr>
              <w:pStyle w:val="Heading2"/>
              <w:spacing w:after="0"/>
              <w:jc w:val="center"/>
              <w:rPr>
                <w:color w:val="FFFFFF"/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JOB DESCRIPTION</w:t>
            </w:r>
          </w:p>
          <w:p w:rsidR="00453809" w:rsidRDefault="00F52ECC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Deputy </w:t>
            </w:r>
            <w:proofErr w:type="spellStart"/>
            <w:r>
              <w:rPr>
                <w:b/>
                <w:color w:val="FFFFFF"/>
              </w:rPr>
              <w:t>Headteacher</w:t>
            </w:r>
            <w:proofErr w:type="spellEnd"/>
          </w:p>
          <w:p w:rsidR="00453809" w:rsidRDefault="00453809">
            <w:pPr>
              <w:jc w:val="center"/>
            </w:pPr>
          </w:p>
        </w:tc>
      </w:tr>
      <w:tr w:rsidR="00453809">
        <w:tc>
          <w:tcPr>
            <w:tcW w:w="5387" w:type="dxa"/>
            <w:gridSpan w:val="3"/>
            <w:tcBorders>
              <w:top w:val="single" w:sz="4" w:space="0" w:color="000000"/>
            </w:tcBorders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PLACE OF WORK: Alderman Cogan’s Church of England Primary Academy</w:t>
            </w:r>
          </w:p>
          <w:p w:rsidR="00453809" w:rsidRDefault="00453809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CURRENT GRADE: L6-L10</w:t>
            </w:r>
          </w:p>
        </w:tc>
      </w:tr>
      <w:tr w:rsidR="00453809">
        <w:tc>
          <w:tcPr>
            <w:tcW w:w="5387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REPORTS TO:   </w:t>
            </w:r>
            <w:proofErr w:type="spellStart"/>
            <w:r>
              <w:rPr>
                <w:b/>
              </w:rPr>
              <w:t>Headteacher</w:t>
            </w:r>
            <w:proofErr w:type="spellEnd"/>
          </w:p>
        </w:tc>
        <w:tc>
          <w:tcPr>
            <w:tcW w:w="4678" w:type="dxa"/>
          </w:tcPr>
          <w:p w:rsidR="00453809" w:rsidRDefault="00453809"/>
          <w:p w:rsidR="00453809" w:rsidRDefault="00F52ECC">
            <w:r>
              <w:t xml:space="preserve"> </w:t>
            </w:r>
          </w:p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8" w:type="dxa"/>
            <w:gridSpan w:val="3"/>
          </w:tcPr>
          <w:p w:rsidR="00453809" w:rsidRDefault="00F52ECC">
            <w:r>
              <w:rPr>
                <w:b/>
              </w:rPr>
              <w:t>MAIN PURPOSE OF JOB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To play a major role under the direction of the </w:t>
            </w:r>
            <w:proofErr w:type="spellStart"/>
            <w:r>
              <w:rPr>
                <w:color w:val="000000"/>
              </w:rPr>
              <w:t>Headteacher</w:t>
            </w:r>
            <w:proofErr w:type="spellEnd"/>
            <w:r>
              <w:rPr>
                <w:color w:val="000000"/>
              </w:rPr>
              <w:t xml:space="preserve"> in formulating the aims and objectives of the school, establishing the policies through which they will be achieved, managing staff and resources to achieve the aims and objectives of the school a</w:t>
            </w:r>
            <w:r>
              <w:rPr>
                <w:color w:val="000000"/>
              </w:rPr>
              <w:t>nd monitor progress towards their achievement. The role will specifically have responsibility for Learning and Teaching across school to achieve the highest standards of achievement. The role will be based on a coaching/mentoring model for high quality tea</w:t>
            </w:r>
            <w:r>
              <w:rPr>
                <w:color w:val="000000"/>
              </w:rPr>
              <w:t>ching.</w:t>
            </w:r>
          </w:p>
          <w:p w:rsidR="00453809" w:rsidRDefault="00453809"/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KEY TASKS</w:t>
            </w:r>
          </w:p>
          <w:p w:rsidR="00453809" w:rsidRDefault="00453809">
            <w:pPr>
              <w:rPr>
                <w:b/>
              </w:rPr>
            </w:pP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Work with the </w:t>
            </w:r>
            <w:proofErr w:type="spellStart"/>
            <w:r>
              <w:rPr>
                <w:color w:val="000000"/>
              </w:rPr>
              <w:t>Headteacher</w:t>
            </w:r>
            <w:proofErr w:type="spellEnd"/>
            <w:r>
              <w:rPr>
                <w:color w:val="000000"/>
              </w:rPr>
              <w:t xml:space="preserve"> to raise the quality of teaching and learning and pupils’ achievement, setting high expectations and monitoring and evaluating effectiveness of learning outcomes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>Provide regular feedback for colleagues in a way which recognises good practice and supports their progress against professional and performance management objectives resulting in tangible impact on students learning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Develop whole staff, phase teams and individuals to enhance performance 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Undertake coaching and mentoring 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Plan, organise and deliver staff meetings, where necessary bringing in outside speakers 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Keep abreast of the latest developments and disseminate effectively to other members of staff 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You are to carry out the duties of a teacher.  This includes any duties as may be reasonably directed by the </w:t>
            </w:r>
            <w:proofErr w:type="spellStart"/>
            <w:r>
              <w:rPr>
                <w:color w:val="000000"/>
                <w:sz w:val="22"/>
                <w:szCs w:val="22"/>
              </w:rPr>
              <w:t>Headteacher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the accountabilities expected of </w:t>
            </w:r>
            <w:r>
              <w:rPr>
                <w:color w:val="000000"/>
                <w:sz w:val="22"/>
                <w:szCs w:val="22"/>
              </w:rPr>
              <w:t>class teachers at the Academy.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All staff will be involved in working together, as part of a team, to develop areas of provision that impact positively on learning and teaching across the school.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2.5 All staff will take an active role in the School Self </w:t>
            </w:r>
            <w:r>
              <w:rPr>
                <w:color w:val="000000"/>
                <w:sz w:val="22"/>
                <w:szCs w:val="22"/>
              </w:rPr>
              <w:t xml:space="preserve">Evaluation process. As Deputy </w:t>
            </w:r>
            <w:proofErr w:type="spellStart"/>
            <w:r>
              <w:rPr>
                <w:color w:val="000000"/>
                <w:sz w:val="22"/>
                <w:szCs w:val="22"/>
              </w:rPr>
              <w:t>Headteacher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you will be expected to lead a team through the School Self Evaluation process.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Support the </w:t>
            </w:r>
            <w:proofErr w:type="spellStart"/>
            <w:r>
              <w:rPr>
                <w:color w:val="000000"/>
                <w:sz w:val="22"/>
                <w:szCs w:val="22"/>
              </w:rPr>
              <w:t>Headteacher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in: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Ensuring the vision for our church school is clearly articulated, shared, understood and acted upon effectively by all 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Demonstrating the vision and values of the school in everyday work and practice </w:t>
            </w:r>
          </w:p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Motivating and working with others to create a shared c</w:t>
            </w:r>
            <w:r>
              <w:rPr>
                <w:color w:val="000000"/>
                <w:sz w:val="22"/>
                <w:szCs w:val="22"/>
              </w:rPr>
              <w:t xml:space="preserve">ulture and positive climate 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Assist the </w:t>
            </w:r>
            <w:proofErr w:type="spellStart"/>
            <w:r>
              <w:rPr>
                <w:color w:val="000000"/>
              </w:rPr>
              <w:t>Headteacher</w:t>
            </w:r>
            <w:proofErr w:type="spellEnd"/>
            <w:r>
              <w:rPr>
                <w:color w:val="000000"/>
              </w:rPr>
              <w:t xml:space="preserve"> in the ongoing and annual review of standards of leadership, teaching and learning in specific areas of responsibility and across all </w:t>
            </w:r>
            <w:r>
              <w:rPr>
                <w:color w:val="000000"/>
              </w:rPr>
              <w:lastRenderedPageBreak/>
              <w:t>areas of school provision, consistent with the procedures in the school self-evaluation policy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</w:rPr>
              <w:t>reate costed subject development plans which contribute positively to the achievement of the School Development Plan and which actively involves all staff in its design and execution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t xml:space="preserve">Overseeing pupil progress and progress of groups of pupils. Informing </w:t>
            </w:r>
            <w:r>
              <w:t xml:space="preserve">the Senior Leadership Team and Full Governing Body of this information 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r>
              <w:rPr>
                <w:color w:val="000000"/>
              </w:rPr>
              <w:t>Promote high expectations for attainment and progress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Monitor the progress made in achieving subject/area plans and targets, and evaluate the effect on teaching and learning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>
            <w:pPr>
              <w:numPr>
                <w:ilvl w:val="0"/>
                <w:numId w:val="2"/>
              </w:numPr>
            </w:pPr>
          </w:p>
        </w:tc>
        <w:tc>
          <w:tcPr>
            <w:tcW w:w="8988" w:type="dxa"/>
            <w:gridSpan w:val="2"/>
          </w:tcPr>
          <w:p w:rsidR="00453809" w:rsidRDefault="00F52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Work with outside agencies and stakeholders to inform future action</w:t>
            </w:r>
          </w:p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  <w:bookmarkStart w:id="1" w:name="_GoBack"/>
            <w:bookmarkEnd w:id="1"/>
          </w:p>
        </w:tc>
        <w:tc>
          <w:tcPr>
            <w:tcW w:w="510" w:type="dxa"/>
          </w:tcPr>
          <w:p w:rsidR="00453809" w:rsidRDefault="00453809"/>
        </w:tc>
        <w:tc>
          <w:tcPr>
            <w:tcW w:w="8988" w:type="dxa"/>
            <w:gridSpan w:val="2"/>
          </w:tcPr>
          <w:p w:rsidR="00453809" w:rsidRDefault="00F52ECC">
            <w:r>
              <w:t>Comply with all Academy and Trust policies and procedures.</w:t>
            </w:r>
          </w:p>
          <w:p w:rsidR="00453809" w:rsidRDefault="00453809"/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/>
        </w:tc>
        <w:tc>
          <w:tcPr>
            <w:tcW w:w="8988" w:type="dxa"/>
            <w:gridSpan w:val="2"/>
          </w:tcPr>
          <w:p w:rsidR="00453809" w:rsidRDefault="00F52ECC">
            <w:r>
              <w:t>To co-operate in any staff development activities required to effectively carry out the duties of the post and to participate in the Trust’s appraisal process.</w:t>
            </w:r>
          </w:p>
          <w:p w:rsidR="00453809" w:rsidRDefault="00453809"/>
        </w:tc>
      </w:tr>
      <w:tr w:rsidR="00453809">
        <w:tc>
          <w:tcPr>
            <w:tcW w:w="567" w:type="dxa"/>
          </w:tcPr>
          <w:p w:rsidR="00453809" w:rsidRDefault="00453809">
            <w:pPr>
              <w:rPr>
                <w:b/>
              </w:rPr>
            </w:pPr>
          </w:p>
        </w:tc>
        <w:tc>
          <w:tcPr>
            <w:tcW w:w="510" w:type="dxa"/>
          </w:tcPr>
          <w:p w:rsidR="00453809" w:rsidRDefault="00453809"/>
        </w:tc>
        <w:tc>
          <w:tcPr>
            <w:tcW w:w="8988" w:type="dxa"/>
            <w:gridSpan w:val="2"/>
          </w:tcPr>
          <w:p w:rsidR="00453809" w:rsidRDefault="00F52ECC">
            <w:r>
              <w:t>Any other reasonable duties commensurate with the level of the post.</w:t>
            </w:r>
          </w:p>
          <w:p w:rsidR="00453809" w:rsidRDefault="00453809"/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SUPERVISION / MANA</w:t>
            </w:r>
            <w:r>
              <w:rPr>
                <w:b/>
              </w:rPr>
              <w:t>GEMENT OF PEOPLE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F52ECC">
            <w:pPr>
              <w:rPr>
                <w:b/>
              </w:rPr>
            </w:pPr>
            <w:r>
              <w:t xml:space="preserve"> </w:t>
            </w:r>
          </w:p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MAIN CONTACTS AND RELATIONSHIPS</w:t>
            </w:r>
          </w:p>
          <w:p w:rsidR="00453809" w:rsidRDefault="00F52ECC">
            <w:r>
              <w:t>Internal:</w:t>
            </w:r>
          </w:p>
          <w:p w:rsidR="00453809" w:rsidRDefault="00453809"/>
          <w:p w:rsidR="00453809" w:rsidRDefault="00F52ECC">
            <w:r>
              <w:t>External: Parents</w:t>
            </w:r>
          </w:p>
          <w:p w:rsidR="00453809" w:rsidRDefault="00453809">
            <w:pPr>
              <w:rPr>
                <w:b/>
              </w:rPr>
            </w:pPr>
          </w:p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SPECIFIC AREAS OF RESPONSIBILITY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F52ECC">
            <w:pPr>
              <w:numPr>
                <w:ilvl w:val="0"/>
                <w:numId w:val="5"/>
              </w:numPr>
              <w:spacing w:line="276" w:lineRule="auto"/>
            </w:pPr>
            <w:r>
              <w:t xml:space="preserve">Deputise for the </w:t>
            </w:r>
            <w:proofErr w:type="spellStart"/>
            <w:r>
              <w:t>Headteacher</w:t>
            </w:r>
            <w:proofErr w:type="spellEnd"/>
            <w:r>
              <w:t xml:space="preserve"> in her absence.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>Take a major role in the day-to-day running of the school, attending SLT, SDT and staff meetings and leading them as required.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 xml:space="preserve"> Contribute to a positive ethos for learning.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lastRenderedPageBreak/>
              <w:t xml:space="preserve"> Provide an exciting, stimulating and creative curriculum.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 xml:space="preserve"> Promote the values and </w:t>
            </w:r>
            <w:r>
              <w:t>achievements of the school to the community.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 xml:space="preserve">Support the </w:t>
            </w:r>
            <w:proofErr w:type="spellStart"/>
            <w:r>
              <w:t>Headteacher</w:t>
            </w:r>
            <w:proofErr w:type="spellEnd"/>
            <w:r>
              <w:t xml:space="preserve"> and Governors in annual budget planning and monitoring.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>To take whole school assemblies when required.</w:t>
            </w:r>
          </w:p>
          <w:p w:rsidR="00453809" w:rsidRDefault="00F52ECC">
            <w:pPr>
              <w:numPr>
                <w:ilvl w:val="0"/>
                <w:numId w:val="4"/>
              </w:numPr>
              <w:spacing w:line="276" w:lineRule="auto"/>
            </w:pPr>
            <w:r>
              <w:t xml:space="preserve">Undertake such reasonable activities that the </w:t>
            </w:r>
            <w:proofErr w:type="spellStart"/>
            <w:r>
              <w:t>Headteacher</w:t>
            </w:r>
            <w:proofErr w:type="spellEnd"/>
            <w:r>
              <w:t xml:space="preserve"> and governors may from time to time require.</w:t>
            </w:r>
          </w:p>
          <w:p w:rsidR="00453809" w:rsidRDefault="00453809">
            <w:pPr>
              <w:rPr>
                <w:b/>
              </w:rPr>
            </w:pPr>
          </w:p>
        </w:tc>
      </w:tr>
      <w:tr w:rsidR="00453809">
        <w:tc>
          <w:tcPr>
            <w:tcW w:w="10065" w:type="dxa"/>
            <w:gridSpan w:val="4"/>
            <w:shd w:val="clear" w:color="auto" w:fill="C0396E"/>
          </w:tcPr>
          <w:p w:rsidR="00453809" w:rsidRDefault="00453809">
            <w:pPr>
              <w:rPr>
                <w:b/>
              </w:rPr>
            </w:pPr>
          </w:p>
          <w:p w:rsidR="00453809" w:rsidRDefault="00F52ECC">
            <w:pPr>
              <w:pStyle w:val="Heading2"/>
              <w:spacing w:after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PERSON SPECIFICATION</w:t>
            </w:r>
          </w:p>
          <w:p w:rsidR="00453809" w:rsidRDefault="00F52ECC">
            <w:pPr>
              <w:pStyle w:val="Heading2"/>
              <w:spacing w:after="0"/>
              <w:jc w:val="center"/>
              <w:rPr>
                <w:b w:val="0"/>
                <w:color w:val="FFFFFF"/>
                <w:sz w:val="24"/>
              </w:rPr>
            </w:pPr>
            <w:proofErr w:type="gramStart"/>
            <w:r>
              <w:rPr>
                <w:b w:val="0"/>
                <w:color w:val="FFFFFF"/>
                <w:sz w:val="24"/>
              </w:rPr>
              <w:t>title</w:t>
            </w:r>
            <w:proofErr w:type="gramEnd"/>
          </w:p>
          <w:p w:rsidR="00453809" w:rsidRDefault="00453809"/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6.</w:t>
            </w:r>
          </w:p>
          <w:p w:rsidR="00453809" w:rsidRDefault="00453809">
            <w:pPr>
              <w:rPr>
                <w:b/>
              </w:rPr>
            </w:pP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KNOWLEDGE AND QUALIFICATIONS</w:t>
            </w:r>
          </w:p>
          <w:p w:rsidR="00453809" w:rsidRDefault="00F52ECC">
            <w:r>
              <w:t xml:space="preserve"> </w:t>
            </w:r>
          </w:p>
          <w:p w:rsidR="00453809" w:rsidRDefault="00F52ECC">
            <w:r>
              <w:rPr>
                <w:b/>
              </w:rPr>
              <w:t xml:space="preserve">Essential,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must have:</w:t>
            </w:r>
          </w:p>
          <w:p w:rsidR="00453809" w:rsidRDefault="00453809">
            <w:pPr>
              <w:tabs>
                <w:tab w:val="left" w:pos="4636"/>
              </w:tabs>
            </w:pP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Evidence of further professional development.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Qualified Teacher status.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Degree or equivalent.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A clear understanding of the essential qualities necessary for effective teaching and learning.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The principles of effective assessment for learning.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 xml:space="preserve">Confident in </w:t>
            </w:r>
            <w:r>
              <w:t>whole school self-evaluation.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Knowledge and understanding of data analysis and the ability to use data to set targets for improvement.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Up to date knowledge &amp; understanding of the current national education agenda.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Knowledge of current safeguarding child pr</w:t>
            </w:r>
            <w:r>
              <w:rPr>
                <w:color w:val="000000"/>
              </w:rPr>
              <w:t>otection procedures.</w:t>
            </w:r>
          </w:p>
          <w:p w:rsidR="00453809" w:rsidRDefault="00453809"/>
          <w:p w:rsidR="00453809" w:rsidRDefault="00453809"/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Desirable,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would ideally have: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F52ECC">
            <w:pPr>
              <w:numPr>
                <w:ilvl w:val="0"/>
                <w:numId w:val="1"/>
              </w:numPr>
              <w:rPr>
                <w:b/>
              </w:rPr>
            </w:pPr>
            <w:r>
              <w:t>.</w:t>
            </w:r>
          </w:p>
          <w:p w:rsidR="00453809" w:rsidRDefault="00453809">
            <w:pPr>
              <w:ind w:left="720"/>
            </w:pPr>
          </w:p>
          <w:p w:rsidR="00453809" w:rsidRDefault="00453809"/>
          <w:p w:rsidR="00453809" w:rsidRDefault="00453809"/>
          <w:p w:rsidR="00453809" w:rsidRDefault="00453809"/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7. 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EXPERIENCE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F52ECC">
            <w:r>
              <w:rPr>
                <w:b/>
              </w:rPr>
              <w:t xml:space="preserve">Essential,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must have: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Successful teaching experience in the primary age range.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Recent experience of working successfully as a senior leader or middle manager in a school.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 xml:space="preserve">Leadership of a significant area or phase including responsibility for raising standards across the whole school and contributing to </w:t>
            </w:r>
            <w:proofErr w:type="spellStart"/>
            <w:r>
              <w:t>self evaluation</w:t>
            </w:r>
            <w:proofErr w:type="spellEnd"/>
            <w:r>
              <w:t xml:space="preserve"> and school impr</w:t>
            </w:r>
            <w:r>
              <w:t>ovement.</w:t>
            </w:r>
          </w:p>
          <w:p w:rsidR="00453809" w:rsidRDefault="00453809">
            <w:pPr>
              <w:ind w:left="720"/>
            </w:pPr>
          </w:p>
          <w:p w:rsidR="00453809" w:rsidRDefault="00453809"/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Desirable,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would ideally have:</w:t>
            </w:r>
          </w:p>
          <w:p w:rsidR="00453809" w:rsidRDefault="00F52ECC">
            <w:pPr>
              <w:numPr>
                <w:ilvl w:val="0"/>
                <w:numId w:val="1"/>
              </w:numPr>
              <w:rPr>
                <w:b/>
              </w:rPr>
            </w:pPr>
            <w:r>
              <w:t>Experience of teaching in more than one key stage.</w:t>
            </w:r>
          </w:p>
          <w:p w:rsidR="00453809" w:rsidRDefault="00F52ECC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Experience of data analysis. </w:t>
            </w:r>
          </w:p>
          <w:p w:rsidR="00453809" w:rsidRDefault="00F52ECC">
            <w:pPr>
              <w:numPr>
                <w:ilvl w:val="0"/>
                <w:numId w:val="1"/>
              </w:numPr>
              <w:rPr>
                <w:b/>
              </w:rPr>
            </w:pPr>
            <w:r>
              <w:lastRenderedPageBreak/>
              <w:t>Substantial knowledge and understanding of learning and teaching at Key Stage level.</w:t>
            </w:r>
          </w:p>
          <w:p w:rsidR="00453809" w:rsidRDefault="00453809">
            <w:pPr>
              <w:ind w:left="720"/>
              <w:rPr>
                <w:b/>
              </w:rPr>
            </w:pPr>
          </w:p>
          <w:p w:rsidR="00453809" w:rsidRDefault="00453809">
            <w:pPr>
              <w:rPr>
                <w:b/>
              </w:rPr>
            </w:pPr>
          </w:p>
          <w:p w:rsidR="00453809" w:rsidRDefault="00453809">
            <w:pPr>
              <w:rPr>
                <w:b/>
              </w:rPr>
            </w:pPr>
          </w:p>
          <w:p w:rsidR="00453809" w:rsidRDefault="00453809">
            <w:pPr>
              <w:rPr>
                <w:b/>
              </w:rPr>
            </w:pPr>
          </w:p>
        </w:tc>
      </w:tr>
      <w:tr w:rsidR="00453809">
        <w:tc>
          <w:tcPr>
            <w:tcW w:w="567" w:type="dxa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</w:p>
        </w:tc>
        <w:tc>
          <w:tcPr>
            <w:tcW w:w="9498" w:type="dxa"/>
            <w:gridSpan w:val="3"/>
          </w:tcPr>
          <w:p w:rsidR="00453809" w:rsidRDefault="00F52ECC">
            <w:pPr>
              <w:rPr>
                <w:b/>
              </w:rPr>
            </w:pPr>
            <w:r>
              <w:rPr>
                <w:b/>
              </w:rPr>
              <w:t>SKILLS AND PERSONAL QUALITIES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F52ECC">
            <w:r>
              <w:rPr>
                <w:b/>
              </w:rPr>
              <w:t xml:space="preserve">Essential,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must have: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Demonstrate outstanding practice. 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Analyse data, evaluate pupil progress and plan an appropriate course of action for whole school improvement.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Inspire, challenge, motivate and empowe</w:t>
            </w:r>
            <w:r>
              <w:rPr>
                <w:color w:val="000000"/>
              </w:rPr>
              <w:t>r others to carry the vision forward.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Lead and manage people to work towards common goals.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Ability to investigate, resolve problems and make decisions.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Communicate effectively to a wide range of different audiences (verbal, written, using ICT as appropriate).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Ability to ensure that the school atmosphere is welcoming and that parents are encouraged to take an active part in the life of the school and their</w:t>
            </w:r>
            <w:r>
              <w:rPr>
                <w:color w:val="000000"/>
              </w:rPr>
              <w:t xml:space="preserve"> child’s education.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Expecting and facilitating all children to reach their potential irrespective of social background.</w:t>
            </w:r>
          </w:p>
          <w:p w:rsidR="00453809" w:rsidRDefault="00F52EC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Ability to manage effectively pupil discipline and have a commitment to a high level of pastoral care.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rPr>
                <w:color w:val="000000"/>
              </w:rPr>
              <w:t>Effective administrative and orga</w:t>
            </w:r>
            <w:r>
              <w:rPr>
                <w:color w:val="000000"/>
              </w:rPr>
              <w:t>nisational skills and time management and t</w:t>
            </w:r>
            <w:r>
              <w:t>he ability to work under pressure and to tight deadlines.</w:t>
            </w:r>
          </w:p>
          <w:p w:rsidR="00453809" w:rsidRDefault="00F52E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Creative, enthusiastic and proactive, keen to embrace new ideas and challenges.</w:t>
            </w:r>
          </w:p>
          <w:p w:rsidR="00453809" w:rsidRDefault="00F52E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Energy and enthusiasm.</w:t>
            </w:r>
          </w:p>
          <w:p w:rsidR="00453809" w:rsidRDefault="00F52E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Confidence and excellent inter-personal skills.</w:t>
            </w:r>
          </w:p>
          <w:p w:rsidR="00453809" w:rsidRDefault="00F52EC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6"/>
              </w:tabs>
              <w:rPr>
                <w:color w:val="000000"/>
              </w:rPr>
            </w:pPr>
            <w:r>
              <w:rPr>
                <w:color w:val="000000"/>
              </w:rPr>
              <w:t>Loyalty and confidentiality.</w:t>
            </w:r>
          </w:p>
          <w:p w:rsidR="00453809" w:rsidRDefault="00F52ECC">
            <w:pPr>
              <w:numPr>
                <w:ilvl w:val="0"/>
                <w:numId w:val="1"/>
              </w:numPr>
            </w:pPr>
            <w:r>
              <w:t>Committed to continuing professional development for self and others.</w:t>
            </w:r>
          </w:p>
          <w:p w:rsidR="00453809" w:rsidRDefault="00453809"/>
          <w:p w:rsidR="00453809" w:rsidRDefault="00F52ECC">
            <w:pPr>
              <w:rPr>
                <w:b/>
              </w:rPr>
            </w:pPr>
            <w:r>
              <w:rPr>
                <w:b/>
              </w:rPr>
              <w:t xml:space="preserve">Desirable, i.e. the </w:t>
            </w:r>
            <w:proofErr w:type="spellStart"/>
            <w:r>
              <w:rPr>
                <w:b/>
              </w:rPr>
              <w:t>postholder</w:t>
            </w:r>
            <w:proofErr w:type="spellEnd"/>
            <w:r>
              <w:rPr>
                <w:b/>
              </w:rPr>
              <w:t xml:space="preserve"> would ideally have:</w:t>
            </w:r>
          </w:p>
          <w:p w:rsidR="00453809" w:rsidRDefault="00453809">
            <w:pPr>
              <w:rPr>
                <w:b/>
              </w:rPr>
            </w:pPr>
          </w:p>
          <w:p w:rsidR="00453809" w:rsidRDefault="00453809">
            <w:pPr>
              <w:numPr>
                <w:ilvl w:val="0"/>
                <w:numId w:val="1"/>
              </w:numPr>
              <w:rPr>
                <w:b/>
              </w:rPr>
            </w:pPr>
          </w:p>
          <w:p w:rsidR="00453809" w:rsidRDefault="00453809">
            <w:pPr>
              <w:rPr>
                <w:b/>
              </w:rPr>
            </w:pPr>
          </w:p>
        </w:tc>
      </w:tr>
    </w:tbl>
    <w:p w:rsidR="00453809" w:rsidRDefault="00453809"/>
    <w:sectPr w:rsidR="00453809">
      <w:pgSz w:w="11906" w:h="16838"/>
      <w:pgMar w:top="575" w:right="1797" w:bottom="1618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DD0"/>
    <w:multiLevelType w:val="multilevel"/>
    <w:tmpl w:val="364A1F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F91DC6"/>
    <w:multiLevelType w:val="multilevel"/>
    <w:tmpl w:val="F1D05C1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5537"/>
    <w:multiLevelType w:val="multilevel"/>
    <w:tmpl w:val="D018BB9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652A53"/>
    <w:multiLevelType w:val="multilevel"/>
    <w:tmpl w:val="FDAEC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1D2F73"/>
    <w:multiLevelType w:val="multilevel"/>
    <w:tmpl w:val="03AAC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42E0A1A"/>
    <w:multiLevelType w:val="multilevel"/>
    <w:tmpl w:val="81AC03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09"/>
    <w:rsid w:val="00453809"/>
    <w:rsid w:val="00F5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7F7FF1-B730-47FA-A30D-2F793874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A562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53C5A"/>
    <w:rPr>
      <w:rFonts w:ascii="Arial" w:hAnsi="Arial"/>
      <w:b/>
      <w:bCs/>
      <w:sz w:val="24"/>
      <w:szCs w:val="24"/>
      <w:lang w:val="en-GB"/>
    </w:rPr>
  </w:style>
  <w:style w:type="character" w:customStyle="1" w:styleId="HeaderChar">
    <w:name w:val="Header Char"/>
    <w:link w:val="Header"/>
    <w:rsid w:val="00953C5A"/>
    <w:rPr>
      <w:rFonts w:ascii="Arial" w:hAnsi="Arial"/>
      <w:sz w:val="24"/>
      <w:szCs w:val="24"/>
      <w:lang w:val="en-GB"/>
    </w:rPr>
  </w:style>
  <w:style w:type="paragraph" w:styleId="ListBullet">
    <w:name w:val="List Bullet"/>
    <w:basedOn w:val="Normal"/>
    <w:rsid w:val="00826372"/>
    <w:pPr>
      <w:numPr>
        <w:numId w:val="6"/>
      </w:numPr>
      <w:contextualSpacing/>
    </w:pPr>
  </w:style>
  <w:style w:type="paragraph" w:styleId="NoSpacing">
    <w:name w:val="No Spacing"/>
    <w:uiPriority w:val="1"/>
    <w:qFormat/>
    <w:rsid w:val="00AB0B4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0B40"/>
    <w:pPr>
      <w:ind w:left="720"/>
      <w:contextualSpacing/>
    </w:pPr>
  </w:style>
  <w:style w:type="paragraph" w:customStyle="1" w:styleId="Default">
    <w:name w:val="Default"/>
    <w:rsid w:val="00AB0B40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iiI6wz/jcM37Ofr4e5wg1rIvlw==">AMUW2mWi0aZ+TqicMPN9FdoOsEKmKgjdq+6VZIQqfWLqrNsDtHfVquBT6GPzyMVurmuAS2FuhJj5g+mrX1XF1nwvX5Nqe7ys01gGEeaFFjXWtUUrTYi0R5JahMtTUsndReC1bC3stKLW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stltlcc</dc:creator>
  <cp:lastModifiedBy>Windows User</cp:lastModifiedBy>
  <cp:revision>2</cp:revision>
  <dcterms:created xsi:type="dcterms:W3CDTF">2021-09-15T09:02:00Z</dcterms:created>
  <dcterms:modified xsi:type="dcterms:W3CDTF">2021-09-15T09:02:00Z</dcterms:modified>
</cp:coreProperties>
</file>