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FF" w:rsidRDefault="00562EFF" w:rsidP="008021CB">
      <w:pPr>
        <w:spacing w:after="0" w:line="240" w:lineRule="auto"/>
        <w:rPr>
          <w:rFonts w:ascii="Gill Sans Condensed" w:eastAsia="Times New Roman" w:hAnsi="Gill Sans Condensed" w:cs="Times New Roman"/>
          <w:color w:val="FF0000"/>
          <w:sz w:val="20"/>
          <w:szCs w:val="20"/>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8654B4"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4DE3199F" wp14:editId="1C5AD51C">
                <wp:simplePos x="0" y="0"/>
                <wp:positionH relativeFrom="column">
                  <wp:posOffset>643890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7AE5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0.05pt" to="20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0E0ECF5C" wp14:editId="6935BEB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0E31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rPr>
        <w:t>Forename</w:t>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r w:rsidR="005A3A9F">
              <w:rPr>
                <w:b/>
              </w:rPr>
              <w:t xml:space="preserve"> &amp; Grade/Allowances</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footerReference w:type="default" r:id="rId9"/>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D5727C">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D5727C">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D5727C">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D5727C">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D5727C">
            <w:pPr>
              <w:spacing w:before="40" w:after="40"/>
              <w:jc w:val="center"/>
              <w:rPr>
                <w:b/>
              </w:rPr>
            </w:pPr>
            <w:r w:rsidRPr="00635A20">
              <w:rPr>
                <w:b/>
              </w:rPr>
              <w:t>Duration</w:t>
            </w:r>
          </w:p>
        </w:tc>
      </w:tr>
      <w:tr w:rsidR="00635A20" w:rsidTr="00223CC1">
        <w:trPr>
          <w:trHeight w:val="4922"/>
        </w:trPr>
        <w:tc>
          <w:tcPr>
            <w:tcW w:w="2898" w:type="dxa"/>
          </w:tcPr>
          <w:p w:rsidR="00635A20" w:rsidRDefault="00635A20" w:rsidP="00D5727C">
            <w:pPr>
              <w:pStyle w:val="Section-Level1"/>
              <w:numPr>
                <w:ilvl w:val="0"/>
                <w:numId w:val="0"/>
              </w:numPr>
            </w:pPr>
          </w:p>
        </w:tc>
        <w:tc>
          <w:tcPr>
            <w:tcW w:w="2662" w:type="dxa"/>
          </w:tcPr>
          <w:p w:rsidR="00635A20" w:rsidRDefault="00635A20" w:rsidP="00D5727C">
            <w:pPr>
              <w:pStyle w:val="Section-Level1"/>
              <w:numPr>
                <w:ilvl w:val="0"/>
                <w:numId w:val="0"/>
              </w:numPr>
            </w:pPr>
          </w:p>
        </w:tc>
        <w:tc>
          <w:tcPr>
            <w:tcW w:w="2647" w:type="dxa"/>
          </w:tcPr>
          <w:p w:rsidR="00635A20" w:rsidRDefault="00635A20" w:rsidP="00D5727C">
            <w:pPr>
              <w:pStyle w:val="Section-Level1"/>
              <w:numPr>
                <w:ilvl w:val="0"/>
                <w:numId w:val="0"/>
              </w:numPr>
            </w:pPr>
          </w:p>
        </w:tc>
        <w:tc>
          <w:tcPr>
            <w:tcW w:w="2655" w:type="dxa"/>
          </w:tcPr>
          <w:p w:rsidR="00635A20" w:rsidRDefault="00635A20" w:rsidP="00D5727C">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Address and post code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Telephone number</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Email address</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602020" w:rsidP="00D5727C">
            <w:pPr>
              <w:spacing w:before="40" w:after="40"/>
              <w:rPr>
                <w:b/>
              </w:rPr>
            </w:pPr>
            <w:r>
              <w:rPr>
                <w:b/>
              </w:rPr>
              <w:t>Job t</w:t>
            </w:r>
            <w:r w:rsidR="00820AC0" w:rsidRPr="00820AC0">
              <w:rPr>
                <w:b/>
              </w:rPr>
              <w:t>itle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Relationship to applicant</w:t>
            </w:r>
          </w:p>
        </w:tc>
        <w:tc>
          <w:tcPr>
            <w:tcW w:w="8072" w:type="dxa"/>
          </w:tcPr>
          <w:p w:rsidR="00820AC0" w:rsidRDefault="00820AC0" w:rsidP="00D5727C">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7CD2E"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C2090"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36F33"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01631"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5BAC9"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383F6"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2F0DD"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95743"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Default="009019C2" w:rsidP="005F60DE"/>
    <w:p w:rsidR="00D5727C" w:rsidRDefault="00D5727C" w:rsidP="005F60DE"/>
    <w:p w:rsidR="00D5727C" w:rsidRDefault="00D5727C" w:rsidP="005F60DE"/>
    <w:p w:rsidR="00D5727C" w:rsidRDefault="00D5727C" w:rsidP="005F60DE"/>
    <w:p w:rsidR="00D5727C" w:rsidRPr="00D5727C" w:rsidRDefault="00D5727C" w:rsidP="00D5727C">
      <w:pPr>
        <w:pStyle w:val="ListParagraph"/>
        <w:jc w:val="center"/>
        <w:rPr>
          <w:b/>
        </w:rPr>
      </w:pPr>
      <w:r w:rsidRPr="00D5727C">
        <w:rPr>
          <w:b/>
        </w:rPr>
        <w:lastRenderedPageBreak/>
        <w:t xml:space="preserve">Swanlea </w:t>
      </w:r>
      <w:proofErr w:type="gramStart"/>
      <w:r w:rsidRPr="00D5727C">
        <w:rPr>
          <w:b/>
        </w:rPr>
        <w:t>School</w:t>
      </w:r>
      <w:r w:rsidRPr="00D5727C">
        <w:rPr>
          <w:b/>
          <w:i/>
        </w:rPr>
        <w:t xml:space="preserve">  </w:t>
      </w:r>
      <w:r w:rsidRPr="00D5727C">
        <w:rPr>
          <w:b/>
        </w:rPr>
        <w:t>Policy</w:t>
      </w:r>
      <w:proofErr w:type="gramEnd"/>
      <w:r w:rsidRPr="00D5727C">
        <w:rPr>
          <w:b/>
        </w:rPr>
        <w:t xml:space="preserve"> Statement on</w:t>
      </w:r>
    </w:p>
    <w:p w:rsidR="00D5727C" w:rsidRPr="00D5727C" w:rsidRDefault="00D5727C" w:rsidP="00D5727C">
      <w:pPr>
        <w:pStyle w:val="ListParagraph"/>
        <w:jc w:val="center"/>
        <w:rPr>
          <w:b/>
        </w:rPr>
      </w:pPr>
      <w:proofErr w:type="gramStart"/>
      <w:r w:rsidRPr="00D5727C">
        <w:rPr>
          <w:b/>
        </w:rPr>
        <w:t>the</w:t>
      </w:r>
      <w:proofErr w:type="gramEnd"/>
      <w:r w:rsidRPr="00D5727C">
        <w:rPr>
          <w:b/>
        </w:rPr>
        <w:t xml:space="preserve"> Recruitment of Ex-offenders</w:t>
      </w:r>
    </w:p>
    <w:p w:rsidR="00D5727C" w:rsidRPr="00D5727C" w:rsidRDefault="00D5727C" w:rsidP="00D5727C">
      <w:pPr>
        <w:pStyle w:val="ListParagraph"/>
        <w:jc w:val="both"/>
      </w:pPr>
    </w:p>
    <w:p w:rsidR="00D5727C" w:rsidRPr="00D5727C" w:rsidRDefault="00D5727C" w:rsidP="00D5727C">
      <w:pPr>
        <w:pStyle w:val="ListParagraph"/>
        <w:jc w:val="both"/>
      </w:pPr>
    </w:p>
    <w:p w:rsidR="00D5727C" w:rsidRPr="00D5727C" w:rsidRDefault="00D5727C" w:rsidP="00D5727C">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1" w:history="1">
        <w:r w:rsidRPr="00D5727C">
          <w:rPr>
            <w:rStyle w:val="Hyperlink"/>
            <w:rFonts w:cs="Arial"/>
            <w:lang w:val="en-US"/>
          </w:rPr>
          <w:t>https://www.gov.uk/government/publications/dbs-code-of-practice</w:t>
        </w:r>
      </w:hyperlink>
    </w:p>
    <w:p w:rsidR="00D5727C" w:rsidRPr="00D5727C" w:rsidRDefault="00D5727C" w:rsidP="00D5727C">
      <w:pPr>
        <w:pStyle w:val="ListParagraph"/>
        <w:jc w:val="both"/>
        <w:rPr>
          <w:lang w:val="en-US"/>
        </w:rPr>
      </w:pPr>
    </w:p>
    <w:p w:rsidR="00D5727C" w:rsidRDefault="00D5727C" w:rsidP="00D5727C">
      <w:pPr>
        <w:pStyle w:val="ListParagraph"/>
        <w:jc w:val="both"/>
      </w:pPr>
      <w:r w:rsidRPr="00D5727C">
        <w:t xml:space="preserve">As an organisation which uses the Disclosure and </w:t>
      </w:r>
      <w:proofErr w:type="gramStart"/>
      <w:r w:rsidRPr="00D5727C">
        <w:t>Barring</w:t>
      </w:r>
      <w:proofErr w:type="gramEnd"/>
      <w:r w:rsidRPr="00D5727C">
        <w:t xml:space="preserve"> service, the Governing Body of the school complies fully with the DBS Code of Practice and undertakes not to discriminate unfairly against any subject of a Disclosure on the basis of conviction or other information revealed. </w:t>
      </w:r>
    </w:p>
    <w:p w:rsidR="001F3BA2" w:rsidRPr="00D5727C" w:rsidRDefault="001F3BA2" w:rsidP="00D5727C">
      <w:pPr>
        <w:pStyle w:val="ListParagraph"/>
        <w:jc w:val="both"/>
        <w:rPr>
          <w:color w:val="000000"/>
          <w:lang w:val="en-US"/>
        </w:rPr>
      </w:pPr>
    </w:p>
    <w:p w:rsidR="00D5727C" w:rsidRDefault="00D5727C" w:rsidP="00D5727C">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rsidR="001F3BA2" w:rsidRPr="00D5727C" w:rsidRDefault="001F3BA2" w:rsidP="00D5727C">
      <w:pPr>
        <w:pStyle w:val="ListParagraph"/>
        <w:jc w:val="both"/>
        <w:rPr>
          <w:lang w:val="en-US"/>
        </w:rPr>
      </w:pPr>
    </w:p>
    <w:p w:rsidR="00D5727C" w:rsidRDefault="00D5727C" w:rsidP="00D5727C">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rsidR="001F3BA2" w:rsidRPr="00D5727C" w:rsidRDefault="001F3BA2" w:rsidP="00D5727C">
      <w:pPr>
        <w:pStyle w:val="ListParagraph"/>
        <w:jc w:val="both"/>
      </w:pPr>
    </w:p>
    <w:p w:rsidR="00D5727C" w:rsidRDefault="00D5727C" w:rsidP="00D5727C">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rsidR="001F3BA2" w:rsidRPr="00D5727C" w:rsidRDefault="001F3BA2" w:rsidP="00D5727C">
      <w:pPr>
        <w:pStyle w:val="ListParagraph"/>
        <w:jc w:val="both"/>
      </w:pPr>
    </w:p>
    <w:p w:rsidR="00D5727C" w:rsidRDefault="00D5727C" w:rsidP="00D5727C">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rsidR="001F3BA2" w:rsidRPr="00D5727C" w:rsidRDefault="001F3BA2" w:rsidP="00D5727C">
      <w:pPr>
        <w:pStyle w:val="ListParagraph"/>
        <w:jc w:val="both"/>
      </w:pPr>
    </w:p>
    <w:p w:rsidR="00D5727C" w:rsidRDefault="00D5727C" w:rsidP="00D5727C">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rsidR="001F3BA2" w:rsidRPr="00D5727C" w:rsidRDefault="001F3BA2" w:rsidP="00D5727C">
      <w:pPr>
        <w:pStyle w:val="ListParagraph"/>
        <w:jc w:val="both"/>
      </w:pPr>
    </w:p>
    <w:p w:rsidR="00D5727C" w:rsidRDefault="00D5727C" w:rsidP="00D5727C">
      <w:pPr>
        <w:pStyle w:val="ListParagraph"/>
        <w:jc w:val="both"/>
        <w:rPr>
          <w:lang w:val="en-US"/>
        </w:rPr>
      </w:pPr>
      <w:r w:rsidRPr="00D5727C">
        <w:rPr>
          <w:lang w:val="en-US"/>
        </w:rPr>
        <w:t>We undertake to discuss any matter revealed in a Disclosure with the person seeking the job before withdrawing a conditional offer of employment.</w:t>
      </w:r>
    </w:p>
    <w:p w:rsidR="001F3BA2" w:rsidRPr="00D5727C" w:rsidRDefault="001F3BA2" w:rsidP="00D5727C">
      <w:pPr>
        <w:pStyle w:val="ListParagraph"/>
        <w:jc w:val="both"/>
        <w:rPr>
          <w:lang w:val="en-US"/>
        </w:rPr>
      </w:pPr>
      <w:bookmarkStart w:id="0" w:name="_GoBack"/>
      <w:bookmarkEnd w:id="0"/>
    </w:p>
    <w:p w:rsidR="00D5727C" w:rsidRPr="00D5727C" w:rsidRDefault="00D5727C" w:rsidP="00D5727C">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rsidR="00D5727C" w:rsidRPr="00D5727C" w:rsidRDefault="00D5727C" w:rsidP="00D5727C">
      <w:pPr>
        <w:pStyle w:val="ListParagraph"/>
        <w:jc w:val="both"/>
      </w:pPr>
    </w:p>
    <w:p w:rsidR="00D5727C" w:rsidRPr="00D5727C" w:rsidRDefault="00D5727C" w:rsidP="00D5727C">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rsidR="003F6DEE" w:rsidRDefault="003F6DEE">
      <w:pPr>
        <w:rPr>
          <w:sz w:val="20"/>
          <w:szCs w:val="20"/>
        </w:rPr>
      </w:pPr>
      <w:r>
        <w:rPr>
          <w:sz w:val="20"/>
          <w:szCs w:val="20"/>
        </w:rPr>
        <w:br w:type="page"/>
      </w:r>
    </w:p>
    <w:p w:rsidR="003F6DEE" w:rsidRPr="007606B0" w:rsidRDefault="003F6DEE" w:rsidP="003F6DEE">
      <w:pPr>
        <w:jc w:val="center"/>
        <w:rPr>
          <w:rFonts w:cstheme="minorHAnsi"/>
          <w:b/>
          <w:bCs/>
          <w:lang w:eastAsia="en-GB"/>
        </w:rPr>
      </w:pPr>
      <w:r w:rsidRPr="007606B0">
        <w:rPr>
          <w:rFonts w:cstheme="minorHAnsi"/>
          <w:b/>
          <w:bCs/>
          <w:lang w:eastAsia="en-GB"/>
        </w:rPr>
        <w:lastRenderedPageBreak/>
        <w:t>PRIVATE AND CONFIDENTIAL DISCLOSURE OF CRIMINAL RECORD</w:t>
      </w:r>
    </w:p>
    <w:p w:rsidR="003F6DEE" w:rsidRPr="007606B0" w:rsidRDefault="003F6DEE" w:rsidP="003F6DEE">
      <w:pPr>
        <w:rPr>
          <w:rFonts w:cstheme="minorHAnsi"/>
          <w:lang w:eastAsia="en-GB"/>
        </w:rPr>
      </w:pPr>
      <w:r w:rsidRPr="007606B0">
        <w:rPr>
          <w:rFonts w:cstheme="minorHAnsi"/>
          <w:lang w:eastAsia="en-GB"/>
        </w:rPr>
        <w:t xml:space="preserve">Please read the information below before completing the form. </w:t>
      </w:r>
    </w:p>
    <w:p w:rsidR="003F6DEE" w:rsidRPr="007606B0" w:rsidRDefault="003F6DEE" w:rsidP="003F6DEE">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2"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rsidR="003F6DEE" w:rsidRPr="007606B0" w:rsidRDefault="003F6DEE" w:rsidP="003F6DEE">
      <w:pPr>
        <w:pStyle w:val="Default"/>
        <w:rPr>
          <w:rFonts w:asciiTheme="minorHAnsi" w:hAnsiTheme="minorHAnsi" w:cstheme="minorHAnsi"/>
          <w:sz w:val="18"/>
          <w:szCs w:val="18"/>
        </w:rPr>
      </w:pPr>
    </w:p>
    <w:p w:rsidR="003F6DEE" w:rsidRPr="007606B0" w:rsidRDefault="003F6DEE" w:rsidP="003F6DEE">
      <w:pPr>
        <w:jc w:val="both"/>
        <w:rPr>
          <w:rFonts w:cstheme="minorHAnsi"/>
          <w:sz w:val="18"/>
          <w:szCs w:val="18"/>
          <w:lang w:eastAsia="en-GB"/>
        </w:rPr>
      </w:pPr>
      <w:r w:rsidRPr="007606B0">
        <w:rPr>
          <w:rFonts w:cstheme="minorHAnsi"/>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w:t>
      </w:r>
      <w:proofErr w:type="gramStart"/>
      <w:r w:rsidRPr="007606B0">
        <w:rPr>
          <w:rFonts w:cstheme="minorHAnsi"/>
          <w:sz w:val="18"/>
          <w:szCs w:val="18"/>
          <w:lang w:eastAsia="en-GB"/>
        </w:rPr>
        <w:t>  under</w:t>
      </w:r>
      <w:proofErr w:type="gramEnd"/>
      <w:r w:rsidRPr="007606B0">
        <w:rPr>
          <w:rFonts w:cstheme="minorHAnsi"/>
          <w:sz w:val="18"/>
          <w:szCs w:val="18"/>
          <w:lang w:eastAsia="en-GB"/>
        </w:rPr>
        <w:t xml:space="preserve">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rsidR="003F6DEE" w:rsidRPr="007606B0" w:rsidRDefault="003F6DEE" w:rsidP="003F6DEE">
      <w:pPr>
        <w:rPr>
          <w:rFonts w:cstheme="minorHAnsi"/>
          <w:b/>
          <w:bCs/>
        </w:rPr>
      </w:pPr>
      <w:r w:rsidRPr="007606B0">
        <w:rPr>
          <w:rFonts w:cstheme="minorHAnsi"/>
          <w:b/>
          <w:bCs/>
        </w:rPr>
        <w:t>Spent and Unspent Convictions Cautions Warnings and Reprimands except those “protected”</w:t>
      </w:r>
    </w:p>
    <w:p w:rsidR="003F6DEE" w:rsidRPr="007606B0" w:rsidRDefault="003F6DEE" w:rsidP="003F6DEE">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3F6DEE" w:rsidRPr="007606B0"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Sentence/Penalty </w:t>
            </w:r>
          </w:p>
        </w:tc>
      </w:tr>
      <w:tr w:rsidR="003F6DEE" w:rsidRPr="007606B0"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rPr>
                <w:rFonts w:cstheme="minorHAnsi"/>
                <w:lang w:eastAsia="en-GB"/>
              </w:rPr>
            </w:pPr>
          </w:p>
          <w:p w:rsidR="003F6DEE" w:rsidRPr="007606B0" w:rsidRDefault="003F6DEE" w:rsidP="0093462B">
            <w:pPr>
              <w:rPr>
                <w:rFonts w:cstheme="minorHAnsi"/>
                <w:lang w:eastAsia="en-GB"/>
              </w:rPr>
            </w:pPr>
          </w:p>
          <w:p w:rsidR="003F6DEE" w:rsidRPr="007606B0" w:rsidRDefault="003F6DEE" w:rsidP="0093462B">
            <w:pPr>
              <w:autoSpaceDE w:val="0"/>
              <w:autoSpaceDN w:val="0"/>
              <w:jc w:val="both"/>
              <w:rPr>
                <w:rFonts w:cstheme="minorHAnsi"/>
                <w:lang w:eastAsia="en-GB"/>
              </w:rPr>
            </w:pPr>
          </w:p>
        </w:tc>
      </w:tr>
    </w:tbl>
    <w:p w:rsidR="003F6DEE" w:rsidRPr="007606B0" w:rsidRDefault="003F6DEE" w:rsidP="003F6DEE">
      <w:pPr>
        <w:rPr>
          <w:rFonts w:cstheme="minorHAnsi"/>
          <w:i/>
          <w:iCs/>
          <w:sz w:val="20"/>
        </w:rPr>
      </w:pPr>
      <w:r w:rsidRPr="007606B0">
        <w:rPr>
          <w:rFonts w:cstheme="minorHAnsi"/>
          <w:i/>
          <w:iCs/>
        </w:rPr>
        <w:t>Please continue overleaf if necessary</w:t>
      </w:r>
    </w:p>
    <w:p w:rsidR="003F6DEE" w:rsidRPr="007606B0" w:rsidRDefault="003F6DEE" w:rsidP="003F6DEE">
      <w:pPr>
        <w:jc w:val="both"/>
        <w:rPr>
          <w:rFonts w:cstheme="minorHAnsi"/>
          <w:b/>
          <w:bCs/>
          <w:i/>
          <w:iCs/>
        </w:rPr>
      </w:pPr>
      <w:r w:rsidRPr="007606B0">
        <w:rPr>
          <w:rFonts w:cstheme="minorHAnsi"/>
          <w:b/>
          <w:bCs/>
        </w:rPr>
        <w:t>Pending Prosecutions (</w:t>
      </w:r>
      <w:r w:rsidRPr="007606B0">
        <w:rPr>
          <w:rFonts w:cstheme="minorHAnsi"/>
          <w:b/>
        </w:rPr>
        <w:t xml:space="preserve">If you commit or are convicted of an offence, whether it is a caution or a conviction, spent or unspent, you must declare this to the </w:t>
      </w:r>
      <w:proofErr w:type="spellStart"/>
      <w:r w:rsidRPr="007606B0">
        <w:rPr>
          <w:rFonts w:cstheme="minorHAnsi"/>
          <w:b/>
        </w:rPr>
        <w:t>Headteacher</w:t>
      </w:r>
      <w:proofErr w:type="spellEnd"/>
      <w:r w:rsidRPr="007606B0">
        <w:rPr>
          <w:rFonts w:cstheme="minorHAnsi"/>
          <w:b/>
        </w:rPr>
        <w:t xml:space="preserve"> immediately (within 48 hours)</w:t>
      </w:r>
    </w:p>
    <w:p w:rsidR="003F6DEE" w:rsidRPr="007606B0" w:rsidRDefault="003F6DEE" w:rsidP="003F6DEE">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3F6DEE" w:rsidRPr="007606B0"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Court</w:t>
            </w:r>
          </w:p>
        </w:tc>
      </w:tr>
      <w:tr w:rsidR="003F6DEE" w:rsidRPr="007606B0"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rPr>
                <w:rFonts w:cstheme="minorHAnsi"/>
              </w:rPr>
            </w:pPr>
          </w:p>
          <w:p w:rsidR="003F6DEE" w:rsidRPr="007606B0" w:rsidRDefault="003F6DEE" w:rsidP="0093462B">
            <w:pPr>
              <w:rPr>
                <w:rFonts w:cstheme="minorHAnsi"/>
              </w:rPr>
            </w:pPr>
          </w:p>
          <w:p w:rsidR="003F6DEE" w:rsidRPr="007606B0" w:rsidRDefault="003F6DEE" w:rsidP="0093462B">
            <w:pPr>
              <w:autoSpaceDE w:val="0"/>
              <w:autoSpaceDN w:val="0"/>
              <w:jc w:val="both"/>
              <w:rPr>
                <w:rFonts w:cstheme="minorHAnsi"/>
              </w:rPr>
            </w:pPr>
          </w:p>
        </w:tc>
      </w:tr>
    </w:tbl>
    <w:p w:rsidR="003F6DEE" w:rsidRPr="007606B0" w:rsidRDefault="003F6DEE" w:rsidP="003F6DEE">
      <w:pPr>
        <w:rPr>
          <w:rFonts w:cstheme="minorHAnsi"/>
          <w:i/>
          <w:iCs/>
          <w:sz w:val="20"/>
        </w:rPr>
      </w:pPr>
      <w:r w:rsidRPr="007606B0">
        <w:rPr>
          <w:rFonts w:cstheme="minorHAnsi"/>
          <w:i/>
          <w:iCs/>
        </w:rPr>
        <w:t>Please continue overleaf if necessary</w:t>
      </w:r>
    </w:p>
    <w:p w:rsidR="003F6DEE" w:rsidRPr="007606B0" w:rsidRDefault="003F6DEE" w:rsidP="003F6DEE">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rsidR="003F6DEE" w:rsidRPr="007606B0" w:rsidRDefault="003F6DEE" w:rsidP="003F6DEE">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rsidR="009F3422" w:rsidRPr="00DB1E14" w:rsidRDefault="003F6DEE" w:rsidP="00DB1E14">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9F3422" w:rsidRPr="00DB1E14"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7C" w:rsidRDefault="00D5727C" w:rsidP="00653879">
      <w:pPr>
        <w:spacing w:after="0" w:line="240" w:lineRule="auto"/>
      </w:pPr>
      <w:r>
        <w:separator/>
      </w:r>
    </w:p>
  </w:endnote>
  <w:endnote w:type="continuationSeparator" w:id="0">
    <w:p w:rsidR="00D5727C" w:rsidRDefault="00D5727C"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653879" w:rsidRDefault="00D5727C" w:rsidP="0023303E">
    <w:pPr>
      <w:pStyle w:val="Footer"/>
    </w:pPr>
    <w:r>
      <w:t>January 20</w:t>
    </w:r>
    <w:r w:rsidR="001F3BA2">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7C" w:rsidRDefault="00D5727C" w:rsidP="00653879">
      <w:pPr>
        <w:spacing w:after="0" w:line="240" w:lineRule="auto"/>
      </w:pPr>
      <w:r>
        <w:separator/>
      </w:r>
    </w:p>
  </w:footnote>
  <w:footnote w:type="continuationSeparator" w:id="0">
    <w:p w:rsidR="00D5727C" w:rsidRDefault="00D5727C"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B" w:rsidRDefault="008021CB" w:rsidP="008021CB">
    <w:pPr>
      <w:pStyle w:val="Header"/>
      <w:jc w:val="center"/>
    </w:pPr>
    <w:r>
      <w:rPr>
        <w:noProof/>
        <w:lang w:eastAsia="en-GB"/>
      </w:rPr>
      <w:drawing>
        <wp:inline distT="0" distB="0" distL="0" distR="0" wp14:anchorId="4FF832C0" wp14:editId="7FBFDD97">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rsidR="00D5727C" w:rsidRDefault="008021CB" w:rsidP="008021CB">
    <w:pPr>
      <w:jc w:val="cente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BC4C1E" w:rsidRDefault="00D5727C"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FD5263" w:rsidRDefault="00D5727C"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183F9A"/>
    <w:rsid w:val="001B2667"/>
    <w:rsid w:val="001F3BA2"/>
    <w:rsid w:val="00223CC1"/>
    <w:rsid w:val="0023303E"/>
    <w:rsid w:val="002379E7"/>
    <w:rsid w:val="00297F9E"/>
    <w:rsid w:val="002B084D"/>
    <w:rsid w:val="002B42B3"/>
    <w:rsid w:val="002E1133"/>
    <w:rsid w:val="00364F73"/>
    <w:rsid w:val="00394E4E"/>
    <w:rsid w:val="003E1356"/>
    <w:rsid w:val="003F6DEE"/>
    <w:rsid w:val="00400069"/>
    <w:rsid w:val="004024F8"/>
    <w:rsid w:val="00453B34"/>
    <w:rsid w:val="0046496A"/>
    <w:rsid w:val="00473352"/>
    <w:rsid w:val="004940E2"/>
    <w:rsid w:val="00497728"/>
    <w:rsid w:val="004C0837"/>
    <w:rsid w:val="004C675E"/>
    <w:rsid w:val="004D7D52"/>
    <w:rsid w:val="004E65F2"/>
    <w:rsid w:val="004F13B0"/>
    <w:rsid w:val="0053724D"/>
    <w:rsid w:val="00562EFF"/>
    <w:rsid w:val="00586010"/>
    <w:rsid w:val="005A3A9F"/>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021CB"/>
    <w:rsid w:val="00820AC0"/>
    <w:rsid w:val="00862C0B"/>
    <w:rsid w:val="008654B4"/>
    <w:rsid w:val="008842F2"/>
    <w:rsid w:val="008A0262"/>
    <w:rsid w:val="008A38F2"/>
    <w:rsid w:val="008F098B"/>
    <w:rsid w:val="009019C2"/>
    <w:rsid w:val="00903779"/>
    <w:rsid w:val="00953B20"/>
    <w:rsid w:val="0096132C"/>
    <w:rsid w:val="009F3422"/>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90DDE"/>
    <w:rsid w:val="00CB2B43"/>
    <w:rsid w:val="00D1316D"/>
    <w:rsid w:val="00D45876"/>
    <w:rsid w:val="00D5727C"/>
    <w:rsid w:val="00DB1E14"/>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EC31EF"/>
  <w15:docId w15:val="{8A7615B2-4CF4-4B4B-8587-794D4E2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BodyText2">
    <w:name w:val="Body Text 2"/>
    <w:basedOn w:val="Normal"/>
    <w:link w:val="BodyText2Char"/>
    <w:rsid w:val="00D5727C"/>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5727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5" ma:contentTypeDescription="Create a new document." ma:contentTypeScope="" ma:versionID="bc7ed028be5dd959e5fd8813e0d756aa">
  <xsd:schema xmlns:xsd="http://www.w3.org/2001/XMLSchema" xmlns:xs="http://www.w3.org/2001/XMLSchema" xmlns:p="http://schemas.microsoft.com/office/2006/metadata/properties" xmlns:ns2="6199047f-22e3-4969-a324-042093b5494f" xmlns:ns3="94c6b9a5-e2f4-4f80-bf28-92f7296974f8" targetNamespace="http://schemas.microsoft.com/office/2006/metadata/properties" ma:root="true" ma:fieldsID="079d3271da67fa273755fa3624c2e5e2" ns2:_="" ns3:_="">
    <xsd:import namespace="6199047f-22e3-4969-a324-042093b5494f"/>
    <xsd:import namespace="94c6b9a5-e2f4-4f80-bf28-92f7296974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910d98-afd2-4782-a1e9-0e0447dfd466}"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Props1.xml><?xml version="1.0" encoding="utf-8"?>
<ds:datastoreItem xmlns:ds="http://schemas.openxmlformats.org/officeDocument/2006/customXml" ds:itemID="{1B86E12A-3799-4A1D-96FF-BD06B8898D6E}">
  <ds:schemaRefs>
    <ds:schemaRef ds:uri="http://schemas.openxmlformats.org/officeDocument/2006/bibliography"/>
  </ds:schemaRefs>
</ds:datastoreItem>
</file>

<file path=customXml/itemProps2.xml><?xml version="1.0" encoding="utf-8"?>
<ds:datastoreItem xmlns:ds="http://schemas.openxmlformats.org/officeDocument/2006/customXml" ds:itemID="{5BB98E94-2DAD-4A3F-92B8-85BDA578A698}"/>
</file>

<file path=customXml/itemProps3.xml><?xml version="1.0" encoding="utf-8"?>
<ds:datastoreItem xmlns:ds="http://schemas.openxmlformats.org/officeDocument/2006/customXml" ds:itemID="{584EBA40-FD4A-4574-B1A7-D6530380F704}"/>
</file>

<file path=customXml/itemProps4.xml><?xml version="1.0" encoding="utf-8"?>
<ds:datastoreItem xmlns:ds="http://schemas.openxmlformats.org/officeDocument/2006/customXml" ds:itemID="{926260CD-A7A9-4746-9374-66A77E85E567}"/>
</file>

<file path=docProps/app.xml><?xml version="1.0" encoding="utf-8"?>
<Properties xmlns="http://schemas.openxmlformats.org/officeDocument/2006/extended-properties" xmlns:vt="http://schemas.openxmlformats.org/officeDocument/2006/docPropsVTypes">
  <Template>Normal</Template>
  <TotalTime>15</TotalTime>
  <Pages>13</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Rosie Gavens</cp:lastModifiedBy>
  <cp:revision>9</cp:revision>
  <cp:lastPrinted>2017-06-09T07:05:00Z</cp:lastPrinted>
  <dcterms:created xsi:type="dcterms:W3CDTF">2017-05-05T17:37:00Z</dcterms:created>
  <dcterms:modified xsi:type="dcterms:W3CDTF">2020-02-04T09:29:00Z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Order">
    <vt:r8>9900200</vt:r8>
  </property>
</Properties>
</file>