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542A" w:rsidRDefault="006B20A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-323849</wp:posOffset>
            </wp:positionH>
            <wp:positionV relativeFrom="paragraph">
              <wp:posOffset>0</wp:posOffset>
            </wp:positionV>
            <wp:extent cx="579755" cy="71310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713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5586" w:type="dxa"/>
        <w:tblInd w:w="15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586"/>
      </w:tblGrid>
      <w:tr w:rsidR="0039542A">
        <w:trPr>
          <w:trHeight w:val="360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542A" w:rsidRDefault="0039542A"/>
        </w:tc>
      </w:tr>
    </w:tbl>
    <w:p w:rsidR="0039542A" w:rsidRPr="006B20A0" w:rsidRDefault="006B20A0" w:rsidP="006B20A0">
      <w:pPr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57150" distB="57150" distL="57150" distR="57150" simplePos="0" relativeHeight="251659264" behindDoc="0" locked="0" layoutInCell="1" hidden="0" allowOverlap="1">
            <wp:simplePos x="0" y="0"/>
            <wp:positionH relativeFrom="column">
              <wp:posOffset>4585970</wp:posOffset>
            </wp:positionH>
            <wp:positionV relativeFrom="paragraph">
              <wp:posOffset>-556257</wp:posOffset>
            </wp:positionV>
            <wp:extent cx="1351915" cy="731520"/>
            <wp:effectExtent l="0" t="0" r="0" b="0"/>
            <wp:wrapSquare wrapText="bothSides" distT="57150" distB="57150" distL="57150" distR="5715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  <w:szCs w:val="28"/>
        </w:rPr>
        <w:t>Director of SEND</w:t>
      </w:r>
    </w:p>
    <w:p w:rsidR="0039542A" w:rsidRDefault="006B20A0">
      <w:pPr>
        <w:widowControl/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>L7 to L9 + SEND allowance (if qualified SEND Co)</w:t>
      </w:r>
    </w:p>
    <w:p w:rsidR="0039542A" w:rsidRDefault="006B20A0">
      <w:pPr>
        <w:widowControl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Start date January 2022</w:t>
      </w:r>
    </w:p>
    <w:p w:rsidR="0039542A" w:rsidRDefault="0039542A">
      <w:pPr>
        <w:widowControl/>
        <w:rPr>
          <w:rFonts w:ascii="Arial" w:eastAsia="Arial" w:hAnsi="Arial" w:cs="Arial"/>
          <w:sz w:val="22"/>
          <w:szCs w:val="22"/>
        </w:rPr>
      </w:pPr>
    </w:p>
    <w:p w:rsidR="0039542A" w:rsidRDefault="006B20A0">
      <w:pPr>
        <w:widowControl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We are looking to appoint an exceptional individual to fulfil the role of </w:t>
      </w:r>
      <w:r>
        <w:rPr>
          <w:rFonts w:ascii="Arial" w:eastAsia="Arial" w:hAnsi="Arial" w:cs="Arial"/>
          <w:b/>
          <w:sz w:val="22"/>
          <w:szCs w:val="22"/>
        </w:rPr>
        <w:t>Director of SEND</w:t>
      </w:r>
      <w:r>
        <w:rPr>
          <w:rFonts w:ascii="Arial" w:eastAsia="Arial" w:hAnsi="Arial" w:cs="Arial"/>
          <w:sz w:val="22"/>
          <w:szCs w:val="22"/>
        </w:rPr>
        <w:t xml:space="preserve"> with responsibility for whole</w:t>
      </w:r>
      <w:r>
        <w:rPr>
          <w:rFonts w:ascii="Arial" w:eastAsia="Arial" w:hAnsi="Arial" w:cs="Arial"/>
          <w:sz w:val="22"/>
          <w:szCs w:val="22"/>
        </w:rPr>
        <w:t xml:space="preserve"> school SEND including the strategic leadership and management of the Resource Provision.  </w:t>
      </w:r>
    </w:p>
    <w:p w:rsidR="0039542A" w:rsidRDefault="0039542A">
      <w:pPr>
        <w:widowControl/>
        <w:rPr>
          <w:rFonts w:ascii="Arial" w:eastAsia="Arial" w:hAnsi="Arial" w:cs="Arial"/>
          <w:sz w:val="22"/>
          <w:szCs w:val="22"/>
        </w:rPr>
      </w:pPr>
    </w:p>
    <w:p w:rsidR="0039542A" w:rsidRDefault="006B20A0">
      <w:pPr>
        <w:widowControl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part of our strong and successful SEND faculty, Holmes Chapel Comprehensive School and Sixth Form College are excited to be opening an SEND Resource Provision i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gramStart"/>
      <w:r>
        <w:rPr>
          <w:rFonts w:ascii="Arial" w:eastAsia="Arial" w:hAnsi="Arial" w:cs="Arial"/>
          <w:sz w:val="22"/>
          <w:szCs w:val="22"/>
        </w:rPr>
        <w:t>Autumn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2022 supporting pupils with Social, Emotional and Mental Health needs.  </w:t>
      </w:r>
    </w:p>
    <w:p w:rsidR="0039542A" w:rsidRDefault="0039542A">
      <w:pPr>
        <w:widowControl/>
        <w:rPr>
          <w:rFonts w:ascii="Arial" w:eastAsia="Arial" w:hAnsi="Arial" w:cs="Arial"/>
          <w:sz w:val="22"/>
          <w:szCs w:val="22"/>
        </w:rPr>
      </w:pPr>
    </w:p>
    <w:p w:rsidR="0039542A" w:rsidRDefault="006B20A0">
      <w:pPr>
        <w:widowControl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 is a new and exciting leadership role and an excellent opportunity for a motivated and innovative individual with the desire to shape the future in establishing outstan</w:t>
      </w:r>
      <w:r>
        <w:rPr>
          <w:rFonts w:ascii="Arial" w:eastAsia="Arial" w:hAnsi="Arial" w:cs="Arial"/>
          <w:sz w:val="22"/>
          <w:szCs w:val="22"/>
        </w:rPr>
        <w:t>ding SEND practice across the organisation as well as planning, launching and establishing our new Resource Provision.</w:t>
      </w:r>
    </w:p>
    <w:p w:rsidR="0039542A" w:rsidRDefault="0039542A">
      <w:pPr>
        <w:widowControl/>
      </w:pPr>
    </w:p>
    <w:p w:rsidR="0039542A" w:rsidRDefault="006B20A0">
      <w:pPr>
        <w:widowControl/>
      </w:pPr>
      <w:r>
        <w:rPr>
          <w:rFonts w:ascii="Arial" w:eastAsia="Arial" w:hAnsi="Arial" w:cs="Arial"/>
          <w:sz w:val="22"/>
          <w:szCs w:val="22"/>
        </w:rPr>
        <w:t>The main responsibilities of the role will be:</w:t>
      </w:r>
    </w:p>
    <w:p w:rsidR="0039542A" w:rsidRDefault="0039542A">
      <w:pPr>
        <w:widowControl/>
      </w:pPr>
    </w:p>
    <w:p w:rsidR="0039542A" w:rsidRDefault="006B20A0">
      <w:pPr>
        <w:widowControl/>
        <w:numPr>
          <w:ilvl w:val="0"/>
          <w:numId w:val="1"/>
        </w:num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Determine the strategic development of special education needs and disability (SEND) policy and provision across the organisation ensuring effective implementation of the SEND code of practice</w:t>
      </w:r>
    </w:p>
    <w:p w:rsidR="0039542A" w:rsidRDefault="006B20A0">
      <w:pPr>
        <w:widowControl/>
        <w:numPr>
          <w:ilvl w:val="0"/>
          <w:numId w:val="1"/>
        </w:num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Lead all aspects of the new SEMH resource provision </w:t>
      </w:r>
    </w:p>
    <w:p w:rsidR="0039542A" w:rsidRDefault="006B20A0">
      <w:pPr>
        <w:widowControl/>
        <w:numPr>
          <w:ilvl w:val="0"/>
          <w:numId w:val="1"/>
        </w:numPr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Ensure tha</w:t>
      </w:r>
      <w:r>
        <w:rPr>
          <w:rFonts w:ascii="Arial" w:eastAsia="Arial" w:hAnsi="Arial" w:cs="Arial"/>
          <w:sz w:val="22"/>
          <w:szCs w:val="22"/>
        </w:rPr>
        <w:t>t SEND provision and practice across the organisation is consistently outstanding</w:t>
      </w:r>
    </w:p>
    <w:p w:rsidR="0039542A" w:rsidRDefault="0039542A">
      <w:pPr>
        <w:widowControl/>
        <w:rPr>
          <w:rFonts w:ascii="Arial" w:eastAsia="Arial" w:hAnsi="Arial" w:cs="Arial"/>
          <w:sz w:val="22"/>
          <w:szCs w:val="22"/>
        </w:rPr>
      </w:pPr>
    </w:p>
    <w:p w:rsidR="0039542A" w:rsidRDefault="006B20A0">
      <w:pPr>
        <w:widowControl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We are looking for someone who is passionate, enthusiastic and innovative about ensuring the best outcomes for all pupils, particularly those with SEND and have the determin</w:t>
      </w:r>
      <w:r>
        <w:rPr>
          <w:rFonts w:ascii="Arial" w:eastAsia="Arial" w:hAnsi="Arial" w:cs="Arial"/>
          <w:sz w:val="22"/>
          <w:szCs w:val="22"/>
          <w:highlight w:val="white"/>
        </w:rPr>
        <w:t>ation and resilience to embed change across the organisation. Candidates will have a strong background in Special Educational Needs as well as being an excellent teacher and leader. They will have the capacity to build on the success of the organisation an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d the continuing commitment to providing high quality education for pupils and improving standards of learning and achievement. </w:t>
      </w:r>
    </w:p>
    <w:p w:rsidR="0039542A" w:rsidRDefault="0039542A">
      <w:pPr>
        <w:widowControl/>
        <w:rPr>
          <w:rFonts w:ascii="Arial" w:eastAsia="Arial" w:hAnsi="Arial" w:cs="Arial"/>
          <w:sz w:val="22"/>
          <w:szCs w:val="22"/>
          <w:highlight w:val="white"/>
        </w:rPr>
      </w:pPr>
    </w:p>
    <w:p w:rsidR="0039542A" w:rsidRDefault="006B20A0">
      <w:pPr>
        <w:widowControl/>
        <w:rPr>
          <w:rFonts w:ascii="Arial" w:eastAsia="Arial" w:hAnsi="Arial" w:cs="Arial"/>
          <w:sz w:val="22"/>
          <w:szCs w:val="22"/>
          <w:highlight w:val="white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2"/>
          <w:szCs w:val="22"/>
          <w:highlight w:val="white"/>
        </w:rPr>
        <w:t>This unique leadership role represents a new direction for our school and provides an excellent opportunity for someone who is ambitious and keen to make a significant investment in their career.</w:t>
      </w:r>
    </w:p>
    <w:p w:rsidR="0039542A" w:rsidRDefault="006B20A0">
      <w:pPr>
        <w:widowControl/>
        <w:spacing w:before="240" w:after="240" w:line="276" w:lineRule="auto"/>
      </w:pPr>
      <w:r>
        <w:rPr>
          <w:rFonts w:ascii="Arial" w:eastAsia="Arial" w:hAnsi="Arial" w:cs="Arial"/>
          <w:sz w:val="22"/>
          <w:szCs w:val="22"/>
        </w:rPr>
        <w:t>To arrange an informal discussion or to visit the school ple</w:t>
      </w:r>
      <w:r>
        <w:rPr>
          <w:rFonts w:ascii="Arial" w:eastAsia="Arial" w:hAnsi="Arial" w:cs="Arial"/>
          <w:sz w:val="22"/>
          <w:szCs w:val="22"/>
        </w:rPr>
        <w:t>ase contact Sarah Bradney</w:t>
      </w:r>
      <w:r>
        <w:rPr>
          <w:rFonts w:ascii="Arial" w:eastAsia="Arial" w:hAnsi="Arial" w:cs="Arial"/>
          <w:sz w:val="22"/>
          <w:szCs w:val="22"/>
        </w:rPr>
        <w:br/>
        <w:t>HR Manager.</w:t>
      </w:r>
      <w:r>
        <w:rPr>
          <w:rFonts w:ascii="Arial" w:eastAsia="Arial" w:hAnsi="Arial" w:cs="Arial"/>
          <w:sz w:val="22"/>
          <w:szCs w:val="22"/>
        </w:rPr>
        <w:br/>
      </w:r>
      <w:r>
        <w:lastRenderedPageBreak/>
        <w:t xml:space="preserve"> </w:t>
      </w:r>
      <w:r>
        <w:br/>
      </w:r>
    </w:p>
    <w:p w:rsidR="0039542A" w:rsidRDefault="006B20A0">
      <w:pPr>
        <w:widowControl/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Holmes Chapel Comprehensive School &amp; Sixth Form College is an equal opportunities employer and the Academy is strongly committed to the safety and welfare of children and young people. The successful candidate is re</w:t>
      </w:r>
      <w:r>
        <w:rPr>
          <w:rFonts w:ascii="Arial" w:eastAsia="Arial" w:hAnsi="Arial" w:cs="Arial"/>
          <w:sz w:val="22"/>
          <w:szCs w:val="22"/>
        </w:rPr>
        <w:t>quired to comply with our safeguarding procedures.</w:t>
      </w:r>
      <w:r>
        <w:rPr>
          <w:rFonts w:ascii="Arial" w:eastAsia="Arial" w:hAnsi="Arial" w:cs="Arial"/>
          <w:sz w:val="22"/>
          <w:szCs w:val="22"/>
        </w:rPr>
        <w:br/>
        <w:t xml:space="preserve"> </w:t>
      </w:r>
      <w:r>
        <w:rPr>
          <w:rFonts w:ascii="Arial" w:eastAsia="Arial" w:hAnsi="Arial" w:cs="Arial"/>
          <w:sz w:val="22"/>
          <w:szCs w:val="22"/>
        </w:rPr>
        <w:br/>
        <w:t xml:space="preserve">For further details please visit our website: www.hccs1978.co.uk. </w:t>
      </w:r>
    </w:p>
    <w:p w:rsidR="0039542A" w:rsidRDefault="006B20A0">
      <w:pPr>
        <w:widowControl/>
        <w:spacing w:before="240" w:after="240" w:line="276" w:lineRule="auto"/>
        <w:rPr>
          <w:rFonts w:ascii="Arial" w:eastAsia="Arial" w:hAnsi="Arial" w:cs="Arial"/>
          <w:sz w:val="22"/>
          <w:szCs w:val="22"/>
          <w:highlight w:val="yellow"/>
        </w:rPr>
      </w:pPr>
      <w:r>
        <w:rPr>
          <w:rFonts w:ascii="Arial" w:eastAsia="Arial" w:hAnsi="Arial" w:cs="Arial"/>
          <w:sz w:val="22"/>
          <w:szCs w:val="22"/>
        </w:rPr>
        <w:t>N.B. Applications will only be accepted on the TES application form.</w:t>
      </w:r>
      <w:r>
        <w:rPr>
          <w:rFonts w:ascii="Arial" w:eastAsia="Arial" w:hAnsi="Arial" w:cs="Arial"/>
          <w:sz w:val="22"/>
          <w:szCs w:val="22"/>
        </w:rPr>
        <w:br/>
        <w:t xml:space="preserve">  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  <w:highlight w:val="yellow"/>
        </w:rPr>
        <w:t>Closing date: Friday 15th October 2021</w:t>
      </w:r>
    </w:p>
    <w:p w:rsidR="0039542A" w:rsidRDefault="006B20A0">
      <w:pPr>
        <w:widowControl/>
        <w:spacing w:before="240" w:after="240" w:line="276" w:lineRule="auto"/>
      </w:pPr>
      <w:r>
        <w:rPr>
          <w:rFonts w:ascii="Arial" w:eastAsia="Arial" w:hAnsi="Arial" w:cs="Arial"/>
          <w:sz w:val="22"/>
          <w:szCs w:val="22"/>
          <w:highlight w:val="yellow"/>
        </w:rPr>
        <w:t>Interviews/Assessment Cen</w:t>
      </w:r>
      <w:r>
        <w:rPr>
          <w:rFonts w:ascii="Arial" w:eastAsia="Arial" w:hAnsi="Arial" w:cs="Arial"/>
          <w:sz w:val="22"/>
          <w:szCs w:val="22"/>
          <w:highlight w:val="yellow"/>
        </w:rPr>
        <w:t>tre to be held on Wednesday 20th October 2021 and Thursday 21st October 2021</w:t>
      </w:r>
    </w:p>
    <w:p w:rsidR="0039542A" w:rsidRDefault="0039542A">
      <w:pPr>
        <w:widowControl/>
        <w:rPr>
          <w:rFonts w:ascii="Arial" w:eastAsia="Arial" w:hAnsi="Arial" w:cs="Arial"/>
          <w:sz w:val="22"/>
          <w:szCs w:val="22"/>
        </w:rPr>
      </w:pPr>
    </w:p>
    <w:p w:rsidR="0039542A" w:rsidRDefault="0039542A">
      <w:pPr>
        <w:rPr>
          <w:rFonts w:ascii="Arial" w:eastAsia="Arial" w:hAnsi="Arial" w:cs="Arial"/>
          <w:b/>
          <w:sz w:val="22"/>
          <w:szCs w:val="22"/>
        </w:rPr>
      </w:pPr>
    </w:p>
    <w:p w:rsidR="0039542A" w:rsidRDefault="006B20A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Executive Head Teacher: Nigel </w:t>
      </w:r>
      <w:proofErr w:type="spellStart"/>
      <w:r>
        <w:rPr>
          <w:rFonts w:ascii="Arial" w:eastAsia="Arial" w:hAnsi="Arial" w:cs="Arial"/>
          <w:sz w:val="22"/>
          <w:szCs w:val="22"/>
        </w:rPr>
        <w:t>Bielby</w:t>
      </w:r>
      <w:proofErr w:type="spellEnd"/>
    </w:p>
    <w:p w:rsidR="0039542A" w:rsidRDefault="006B20A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Tel: 01477- 410500 </w:t>
      </w:r>
    </w:p>
    <w:p w:rsidR="0039542A" w:rsidRDefault="006B20A0">
      <w:pPr>
        <w:rPr>
          <w:rFonts w:ascii="Courier New" w:eastAsia="Courier New" w:hAnsi="Courier New" w:cs="Courier New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Web Site: 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www.hccs1978.co.uk</w:t>
        </w:r>
      </w:hyperlink>
      <w:r>
        <w:rPr>
          <w:rFonts w:ascii="Arial" w:eastAsia="Arial" w:hAnsi="Arial" w:cs="Arial"/>
          <w:sz w:val="22"/>
          <w:szCs w:val="22"/>
        </w:rPr>
        <w:t xml:space="preserve">  NOR: 1308 including 209 in the Sixth Form) </w:t>
      </w:r>
    </w:p>
    <w:sectPr w:rsidR="0039542A">
      <w:headerReference w:type="default" r:id="rId10"/>
      <w:footerReference w:type="default" r:id="rId11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20A0">
      <w:r>
        <w:separator/>
      </w:r>
    </w:p>
  </w:endnote>
  <w:endnote w:type="continuationSeparator" w:id="0">
    <w:p w:rsidR="00000000" w:rsidRDefault="006B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2A" w:rsidRDefault="0039542A">
    <w:pPr>
      <w:tabs>
        <w:tab w:val="right" w:pos="9020"/>
      </w:tabs>
      <w:spacing w:after="720"/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20A0">
      <w:r>
        <w:separator/>
      </w:r>
    </w:p>
  </w:footnote>
  <w:footnote w:type="continuationSeparator" w:id="0">
    <w:p w:rsidR="00000000" w:rsidRDefault="006B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42A" w:rsidRDefault="006B20A0">
    <w:pPr>
      <w:tabs>
        <w:tab w:val="right" w:pos="9020"/>
      </w:tabs>
      <w:spacing w:before="720"/>
      <w:rPr>
        <w:rFonts w:ascii="Helvetica Neue" w:eastAsia="Helvetica Neue" w:hAnsi="Helvetica Neue" w:cs="Helvetica Neue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342900</wp:posOffset>
              </wp:positionH>
              <wp:positionV relativeFrom="paragraph">
                <wp:posOffset>709613</wp:posOffset>
              </wp:positionV>
              <wp:extent cx="4152900" cy="7334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4313" y="3342803"/>
                        <a:ext cx="4143375" cy="874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9542A" w:rsidRDefault="006B20A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       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HOLMES CHAPEL COMPREHENSIVE SCHOOL</w:t>
                          </w:r>
                        </w:p>
                        <w:p w:rsidR="0039542A" w:rsidRDefault="006B20A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  &amp; SIXTH FORM COLLEGE</w:t>
                          </w:r>
                        </w:p>
                        <w:p w:rsidR="0039542A" w:rsidRDefault="0039542A">
                          <w:pPr>
                            <w:jc w:val="center"/>
                            <w:textDirection w:val="btLr"/>
                          </w:pPr>
                        </w:p>
                        <w:p w:rsidR="0039542A" w:rsidRDefault="0039542A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45700" tIns="45700" rIns="4570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342900</wp:posOffset>
              </wp:positionH>
              <wp:positionV relativeFrom="paragraph">
                <wp:posOffset>709613</wp:posOffset>
              </wp:positionV>
              <wp:extent cx="4152900" cy="7334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900" cy="733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E5E"/>
    <w:multiLevelType w:val="multilevel"/>
    <w:tmpl w:val="65364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2A"/>
    <w:rsid w:val="0039542A"/>
    <w:rsid w:val="006B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2F6B"/>
  <w15:docId w15:val="{F8021124-2C6E-4AAA-9988-CF06B4F6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ccs1978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HCCS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Bradney</dc:creator>
  <cp:lastModifiedBy>Sarah Bradney</cp:lastModifiedBy>
  <cp:revision>2</cp:revision>
  <dcterms:created xsi:type="dcterms:W3CDTF">2021-10-07T14:19:00Z</dcterms:created>
  <dcterms:modified xsi:type="dcterms:W3CDTF">2021-10-07T14:19:00Z</dcterms:modified>
</cp:coreProperties>
</file>