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rPr>
          <w:rFonts w:ascii="Palatino Linotype" w:hAnsi="Palatino Linotype"/>
          <w:b/>
        </w:rPr>
      </w:pPr>
      <w:r>
        <w:rPr>
          <w:rFonts w:ascii="Palatino Linotype" w:hAnsi="Palatino Linotype"/>
          <w:b/>
        </w:rPr>
        <w:t>EAL CORRDINATOR JOB DESCRIPTION</w:t>
      </w:r>
    </w:p>
    <w:p>
      <w:pPr>
        <w:jc w:val="center"/>
        <w:rPr>
          <w:rFonts w:ascii="Palatino Linotype" w:hAnsi="Palatino Linotype"/>
          <w:b/>
        </w:rPr>
      </w:pPr>
    </w:p>
    <w:p>
      <w:pPr>
        <w:tabs>
          <w:tab w:val="left" w:pos="1843"/>
        </w:tabs>
        <w:rPr>
          <w:rFonts w:ascii="Palatino Linotype" w:hAnsi="Palatino Linotype"/>
        </w:rPr>
      </w:pPr>
      <w:r>
        <w:rPr>
          <w:rFonts w:ascii="Palatino Linotype" w:hAnsi="Palatino Linotype"/>
          <w:b/>
        </w:rPr>
        <w:t>Job Title:</w:t>
      </w:r>
      <w:r>
        <w:rPr>
          <w:rFonts w:ascii="Palatino Linotype" w:hAnsi="Palatino Linotype"/>
          <w:b/>
        </w:rPr>
        <w:tab/>
      </w:r>
      <w:r>
        <w:rPr>
          <w:rFonts w:ascii="Palatino Linotype" w:hAnsi="Palatino Linotype"/>
        </w:rPr>
        <w:t>EAL Coordinator</w:t>
      </w:r>
    </w:p>
    <w:p>
      <w:pPr>
        <w:tabs>
          <w:tab w:val="left" w:pos="1843"/>
        </w:tabs>
        <w:rPr>
          <w:rFonts w:ascii="Palatino Linotype" w:hAnsi="Palatino Linotype" w:cs="Times New Roman"/>
          <w:lang w:eastAsia="en-GB"/>
        </w:rPr>
      </w:pPr>
      <w:r>
        <w:rPr>
          <w:rFonts w:ascii="Palatino Linotype" w:hAnsi="Palatino Linotype"/>
          <w:b/>
        </w:rPr>
        <w:t>Contract:</w:t>
      </w:r>
      <w:r>
        <w:rPr>
          <w:rFonts w:ascii="Palatino Linotype" w:hAnsi="Palatino Linotype"/>
        </w:rPr>
        <w:t xml:space="preserve"> </w:t>
      </w:r>
      <w:r>
        <w:rPr>
          <w:rFonts w:ascii="Palatino Linotype" w:hAnsi="Palatino Linotype"/>
        </w:rPr>
        <w:tab/>
      </w:r>
      <w:r>
        <w:rPr>
          <w:rFonts w:ascii="Palatino Linotype" w:hAnsi="Palatino Linotype" w:cs="Times New Roman"/>
          <w:lang w:eastAsia="en-GB"/>
        </w:rPr>
        <w:t>32.5 hours per week Term Time only</w:t>
      </w:r>
    </w:p>
    <w:p>
      <w:pPr>
        <w:tabs>
          <w:tab w:val="left" w:pos="1843"/>
        </w:tabs>
        <w:rPr>
          <w:rFonts w:ascii="Palatino Linotype" w:hAnsi="Palatino Linotype"/>
        </w:rPr>
      </w:pPr>
      <w:r>
        <w:rPr>
          <w:rFonts w:ascii="Palatino Linotype" w:hAnsi="Palatino Linotype"/>
          <w:b/>
        </w:rPr>
        <w:t xml:space="preserve">Responsible to:     </w:t>
      </w:r>
      <w:r>
        <w:rPr>
          <w:rFonts w:ascii="Palatino Linotype" w:hAnsi="Palatino Linotype"/>
        </w:rPr>
        <w:t xml:space="preserve">Assistant Principal </w:t>
      </w:r>
    </w:p>
    <w:p>
      <w:pPr>
        <w:tabs>
          <w:tab w:val="left" w:pos="1843"/>
        </w:tabs>
        <w:rPr>
          <w:rFonts w:ascii="Palatino Linotype" w:hAnsi="Palatino Linotype"/>
        </w:rPr>
      </w:pPr>
      <w:r>
        <w:rPr>
          <w:rFonts w:ascii="Palatino Linotype" w:hAnsi="Palatino Linotype"/>
          <w:b/>
        </w:rPr>
        <w:t>Pay Grade:</w:t>
      </w:r>
      <w:r>
        <w:rPr>
          <w:rFonts w:ascii="Palatino Linotype" w:hAnsi="Palatino Linotype"/>
          <w:b/>
        </w:rPr>
        <w:tab/>
      </w:r>
      <w:r>
        <w:rPr>
          <w:rFonts w:ascii="Palatino Linotype" w:hAnsi="Palatino Linotype"/>
        </w:rPr>
        <w:t>Point 17 -21</w:t>
      </w:r>
    </w:p>
    <w:p>
      <w:pPr>
        <w:tabs>
          <w:tab w:val="left" w:pos="1843"/>
        </w:tabs>
        <w:rPr>
          <w:rFonts w:ascii="Palatino Linotype" w:hAnsi="Palatino Linotype"/>
        </w:rPr>
      </w:pPr>
    </w:p>
    <w:p>
      <w:pPr>
        <w:spacing w:line="240" w:lineRule="auto"/>
        <w:rPr>
          <w:rFonts w:ascii="Palatino Linotype" w:hAnsi="Palatino Linotype" w:cstheme="minorHAnsi"/>
          <w:b/>
        </w:rPr>
      </w:pPr>
      <w:r>
        <w:rPr>
          <w:rFonts w:ascii="Palatino Linotype" w:hAnsi="Palatino Linotype" w:cstheme="minorHAnsi"/>
          <w:b/>
        </w:rPr>
        <w:t>Job Description</w:t>
      </w:r>
    </w:p>
    <w:p>
      <w:pPr>
        <w:spacing w:line="240" w:lineRule="auto"/>
        <w:jc w:val="both"/>
        <w:rPr>
          <w:rFonts w:ascii="Palatino Linotype" w:hAnsi="Palatino Linotype" w:cstheme="minorHAnsi"/>
        </w:rPr>
      </w:pPr>
      <w:r>
        <w:rPr>
          <w:rFonts w:ascii="Palatino Linotype" w:hAnsi="Palatino Linotype" w:cstheme="minorHAnsi"/>
        </w:rPr>
        <w:t>This job description may be amended at any time following consultation between the Head of School and EAL Coordinator  and will be reviewed annually.</w:t>
      </w:r>
    </w:p>
    <w:p>
      <w:pPr>
        <w:pStyle w:val="Default"/>
        <w:jc w:val="both"/>
        <w:rPr>
          <w:rFonts w:ascii="Palatino Linotype" w:hAnsi="Palatino Linotype" w:cstheme="minorHAnsi"/>
          <w:b/>
          <w:bCs/>
          <w:sz w:val="22"/>
          <w:szCs w:val="22"/>
        </w:rPr>
      </w:pPr>
      <w:r>
        <w:rPr>
          <w:rFonts w:ascii="Palatino Linotype" w:hAnsi="Palatino Linotype" w:cstheme="minorHAnsi"/>
          <w:b/>
          <w:bCs/>
          <w:sz w:val="22"/>
          <w:szCs w:val="22"/>
        </w:rPr>
        <w:t xml:space="preserve">SPECIFIC DUTIES: </w:t>
      </w:r>
    </w:p>
    <w:p>
      <w:pPr>
        <w:pStyle w:val="Default"/>
        <w:jc w:val="both"/>
        <w:rPr>
          <w:rFonts w:ascii="Palatino Linotype" w:hAnsi="Palatino Linotype" w:cstheme="minorHAnsi"/>
          <w:b/>
          <w:sz w:val="22"/>
          <w:szCs w:val="22"/>
        </w:rPr>
      </w:pPr>
      <w:r>
        <w:rPr>
          <w:rFonts w:ascii="Palatino Linotype" w:hAnsi="Palatino Linotype" w:cstheme="minorHAnsi"/>
          <w:sz w:val="22"/>
          <w:szCs w:val="22"/>
        </w:rPr>
        <w:t xml:space="preserve">Staff at The Gateway Academy are expected to act with honesty and integrity; have strong educational knowledge, keep their knowledge and skills up-to-date and are self-critical; forge positive professional relationships; and work with parents/carers in the best interests of the students. </w:t>
      </w:r>
    </w:p>
    <w:p>
      <w:pPr>
        <w:pStyle w:val="Default"/>
        <w:jc w:val="both"/>
        <w:rPr>
          <w:rFonts w:ascii="Palatino Linotype" w:hAnsi="Palatino Linotype"/>
          <w:b/>
          <w:sz w:val="22"/>
          <w:szCs w:val="22"/>
          <w:u w:val="single"/>
        </w:rPr>
      </w:pPr>
    </w:p>
    <w:p>
      <w:pPr>
        <w:pStyle w:val="Default"/>
        <w:jc w:val="both"/>
        <w:rPr>
          <w:rFonts w:ascii="Palatino Linotype" w:hAnsi="Palatino Linotype"/>
          <w:b/>
          <w:sz w:val="22"/>
          <w:szCs w:val="22"/>
        </w:rPr>
      </w:pPr>
      <w:r>
        <w:rPr>
          <w:rFonts w:ascii="Palatino Linotype" w:hAnsi="Palatino Linotype"/>
          <w:b/>
          <w:sz w:val="22"/>
          <w:szCs w:val="22"/>
        </w:rPr>
        <w:t>RESPONSIBILITIES</w:t>
      </w:r>
    </w:p>
    <w:p>
      <w:pPr>
        <w:pStyle w:val="Default"/>
        <w:jc w:val="both"/>
        <w:rPr>
          <w:rFonts w:ascii="Palatino Linotype" w:hAnsi="Palatino Linotype"/>
          <w:sz w:val="22"/>
          <w:szCs w:val="22"/>
        </w:rPr>
      </w:pPr>
      <w:r>
        <w:rPr>
          <w:rFonts w:ascii="Palatino Linotype" w:hAnsi="Palatino Linotype"/>
          <w:sz w:val="22"/>
          <w:szCs w:val="22"/>
        </w:rPr>
        <w:t>Admissions and Induction</w:t>
      </w:r>
    </w:p>
    <w:p>
      <w:pPr>
        <w:pStyle w:val="Default"/>
        <w:numPr>
          <w:ilvl w:val="0"/>
          <w:numId w:val="29"/>
        </w:numPr>
        <w:jc w:val="both"/>
        <w:rPr>
          <w:rFonts w:ascii="Palatino Linotype" w:hAnsi="Palatino Linotype"/>
          <w:sz w:val="22"/>
          <w:szCs w:val="22"/>
        </w:rPr>
      </w:pPr>
      <w:r>
        <w:rPr>
          <w:rFonts w:ascii="Palatino Linotype" w:hAnsi="Palatino Linotype"/>
          <w:sz w:val="22"/>
          <w:szCs w:val="22"/>
        </w:rPr>
        <w:t>Liaise with the Admissions Officer re: all new EAL arrivals and assess new students for language proficiency using the EAL A-E codes;</w:t>
      </w:r>
    </w:p>
    <w:p>
      <w:pPr>
        <w:pStyle w:val="Default"/>
        <w:numPr>
          <w:ilvl w:val="0"/>
          <w:numId w:val="29"/>
        </w:numPr>
        <w:jc w:val="both"/>
        <w:rPr>
          <w:rFonts w:ascii="Palatino Linotype" w:hAnsi="Palatino Linotype"/>
          <w:sz w:val="22"/>
          <w:szCs w:val="22"/>
        </w:rPr>
      </w:pPr>
      <w:r>
        <w:rPr>
          <w:rFonts w:ascii="Palatino Linotype" w:hAnsi="Palatino Linotype"/>
          <w:sz w:val="22"/>
          <w:szCs w:val="22"/>
        </w:rPr>
        <w:t>Provide a full induction in consultation with the Progress Lead;</w:t>
      </w:r>
    </w:p>
    <w:p>
      <w:pPr>
        <w:pStyle w:val="Default"/>
        <w:numPr>
          <w:ilvl w:val="0"/>
          <w:numId w:val="29"/>
        </w:numPr>
        <w:jc w:val="both"/>
        <w:rPr>
          <w:rFonts w:ascii="Palatino Linotype" w:hAnsi="Palatino Linotype"/>
          <w:sz w:val="22"/>
          <w:szCs w:val="22"/>
        </w:rPr>
      </w:pPr>
      <w:r>
        <w:rPr>
          <w:rFonts w:ascii="Palatino Linotype" w:hAnsi="Palatino Linotype"/>
          <w:sz w:val="22"/>
          <w:szCs w:val="22"/>
        </w:rPr>
        <w:t>Ensure that the student(s) have access to resources to support their learning</w:t>
      </w:r>
    </w:p>
    <w:p>
      <w:pPr>
        <w:pStyle w:val="Default"/>
        <w:numPr>
          <w:ilvl w:val="0"/>
          <w:numId w:val="29"/>
        </w:numPr>
        <w:jc w:val="both"/>
        <w:rPr>
          <w:rFonts w:ascii="Palatino Linotype" w:hAnsi="Palatino Linotype"/>
          <w:sz w:val="22"/>
          <w:szCs w:val="22"/>
        </w:rPr>
      </w:pPr>
      <w:r>
        <w:rPr>
          <w:rFonts w:ascii="Palatino Linotype" w:hAnsi="Palatino Linotype"/>
          <w:sz w:val="22"/>
          <w:szCs w:val="22"/>
        </w:rPr>
        <w:t>Assist with the supporting students both in lessons, before and after school and at lunchtimes;</w:t>
      </w:r>
    </w:p>
    <w:p>
      <w:pPr>
        <w:pStyle w:val="Default"/>
        <w:numPr>
          <w:ilvl w:val="0"/>
          <w:numId w:val="29"/>
        </w:numPr>
        <w:jc w:val="both"/>
        <w:rPr>
          <w:rFonts w:ascii="Palatino Linotype" w:hAnsi="Palatino Linotype"/>
          <w:sz w:val="22"/>
          <w:szCs w:val="22"/>
        </w:rPr>
      </w:pPr>
      <w:r>
        <w:rPr>
          <w:rFonts w:ascii="Palatino Linotype" w:hAnsi="Palatino Linotype"/>
          <w:sz w:val="22"/>
          <w:szCs w:val="22"/>
        </w:rPr>
        <w:t xml:space="preserve">Oversee the transition of EAL students from Year 6 to Year 7.  Liaise with feeder primaries for relevant information and ensure that Year 7 EAL students have a successful transition to the secondary provision. </w:t>
      </w:r>
    </w:p>
    <w:p>
      <w:pPr>
        <w:pStyle w:val="Default"/>
        <w:ind w:left="720"/>
        <w:jc w:val="both"/>
        <w:rPr>
          <w:rFonts w:ascii="Palatino Linotype" w:hAnsi="Palatino Linotype"/>
          <w:sz w:val="22"/>
          <w:szCs w:val="22"/>
        </w:rPr>
      </w:pPr>
    </w:p>
    <w:p>
      <w:pPr>
        <w:pStyle w:val="Default"/>
        <w:jc w:val="both"/>
        <w:rPr>
          <w:rFonts w:ascii="Palatino Linotype" w:hAnsi="Palatino Linotype"/>
          <w:sz w:val="22"/>
          <w:szCs w:val="22"/>
        </w:rPr>
      </w:pPr>
      <w:r>
        <w:rPr>
          <w:rFonts w:ascii="Palatino Linotype" w:hAnsi="Palatino Linotype"/>
          <w:sz w:val="22"/>
          <w:szCs w:val="22"/>
        </w:rPr>
        <w:t>Information Sharing</w:t>
      </w:r>
    </w:p>
    <w:p>
      <w:pPr>
        <w:pStyle w:val="Default"/>
        <w:numPr>
          <w:ilvl w:val="0"/>
          <w:numId w:val="30"/>
        </w:numPr>
        <w:jc w:val="both"/>
        <w:rPr>
          <w:rFonts w:ascii="Palatino Linotype" w:hAnsi="Palatino Linotype"/>
          <w:sz w:val="22"/>
          <w:szCs w:val="22"/>
        </w:rPr>
      </w:pPr>
      <w:r>
        <w:rPr>
          <w:rFonts w:ascii="Palatino Linotype" w:hAnsi="Palatino Linotype"/>
          <w:sz w:val="22"/>
          <w:szCs w:val="22"/>
        </w:rPr>
        <w:t>Assess students’ language levels using the relevant assessment material (the A-E scale) and disseminate to establish a baseline as part of the EAL student passport;</w:t>
      </w:r>
    </w:p>
    <w:p>
      <w:pPr>
        <w:pStyle w:val="Default"/>
        <w:numPr>
          <w:ilvl w:val="0"/>
          <w:numId w:val="30"/>
        </w:numPr>
        <w:jc w:val="both"/>
        <w:rPr>
          <w:rFonts w:ascii="Palatino Linotype" w:hAnsi="Palatino Linotype"/>
          <w:sz w:val="22"/>
          <w:szCs w:val="22"/>
        </w:rPr>
      </w:pPr>
      <w:r>
        <w:rPr>
          <w:rFonts w:ascii="Palatino Linotype" w:hAnsi="Palatino Linotype"/>
          <w:sz w:val="22"/>
          <w:szCs w:val="22"/>
        </w:rPr>
        <w:t xml:space="preserve">Ensure that the EAL student passport includes teaching and learning strategies and that the passports are fully implemented; </w:t>
      </w:r>
    </w:p>
    <w:p>
      <w:pPr>
        <w:pStyle w:val="Default"/>
        <w:numPr>
          <w:ilvl w:val="0"/>
          <w:numId w:val="30"/>
        </w:numPr>
        <w:jc w:val="both"/>
        <w:rPr>
          <w:rFonts w:ascii="Palatino Linotype" w:hAnsi="Palatino Linotype"/>
          <w:sz w:val="22"/>
          <w:szCs w:val="22"/>
        </w:rPr>
      </w:pPr>
      <w:r>
        <w:rPr>
          <w:rFonts w:ascii="Palatino Linotype" w:hAnsi="Palatino Linotype"/>
          <w:sz w:val="22"/>
          <w:szCs w:val="22"/>
        </w:rPr>
        <w:t>Complete weekly/fortnightly EAL learning walks to monitor students in lessons and follow up with appropriate actions;</w:t>
      </w:r>
    </w:p>
    <w:p>
      <w:pPr>
        <w:pStyle w:val="Default"/>
        <w:numPr>
          <w:ilvl w:val="0"/>
          <w:numId w:val="30"/>
        </w:numPr>
        <w:jc w:val="both"/>
        <w:rPr>
          <w:rFonts w:ascii="Palatino Linotype" w:hAnsi="Palatino Linotype"/>
          <w:sz w:val="22"/>
          <w:szCs w:val="22"/>
        </w:rPr>
      </w:pPr>
      <w:r>
        <w:rPr>
          <w:rFonts w:ascii="Palatino Linotype" w:hAnsi="Palatino Linotype"/>
          <w:sz w:val="22"/>
          <w:szCs w:val="22"/>
        </w:rPr>
        <w:t>Assess, record and report on student development, progress and attainment and use this knowledge and understanding to support students to reach their full potential;</w:t>
      </w:r>
    </w:p>
    <w:p>
      <w:pPr>
        <w:pStyle w:val="Default"/>
        <w:numPr>
          <w:ilvl w:val="0"/>
          <w:numId w:val="30"/>
        </w:numPr>
        <w:jc w:val="both"/>
        <w:rPr>
          <w:rFonts w:ascii="Palatino Linotype" w:hAnsi="Palatino Linotype"/>
          <w:sz w:val="22"/>
          <w:szCs w:val="22"/>
        </w:rPr>
      </w:pPr>
      <w:r>
        <w:rPr>
          <w:rFonts w:ascii="Palatino Linotype" w:hAnsi="Palatino Linotype"/>
          <w:sz w:val="22"/>
          <w:szCs w:val="22"/>
        </w:rPr>
        <w:t>Complete termly Impact Reports;</w:t>
      </w:r>
    </w:p>
    <w:p>
      <w:pPr>
        <w:pStyle w:val="Default"/>
        <w:numPr>
          <w:ilvl w:val="0"/>
          <w:numId w:val="30"/>
        </w:numPr>
        <w:jc w:val="both"/>
        <w:rPr>
          <w:rFonts w:ascii="Palatino Linotype" w:hAnsi="Palatino Linotype"/>
          <w:sz w:val="22"/>
          <w:szCs w:val="22"/>
        </w:rPr>
      </w:pPr>
      <w:r>
        <w:rPr>
          <w:rFonts w:ascii="Palatino Linotype" w:hAnsi="Palatino Linotype"/>
          <w:sz w:val="22"/>
          <w:szCs w:val="22"/>
        </w:rPr>
        <w:t>Use the EAL systems to monitor the academic, social and emotional progress of students on the EAL register;</w:t>
      </w:r>
    </w:p>
    <w:p>
      <w:pPr>
        <w:pStyle w:val="Default"/>
        <w:numPr>
          <w:ilvl w:val="0"/>
          <w:numId w:val="30"/>
        </w:numPr>
        <w:jc w:val="both"/>
        <w:rPr>
          <w:rFonts w:ascii="Palatino Linotype" w:hAnsi="Palatino Linotype"/>
          <w:sz w:val="22"/>
          <w:szCs w:val="22"/>
        </w:rPr>
      </w:pPr>
      <w:r>
        <w:rPr>
          <w:rFonts w:ascii="Palatino Linotype" w:hAnsi="Palatino Linotype"/>
          <w:sz w:val="22"/>
          <w:szCs w:val="22"/>
        </w:rPr>
        <w:t>Maintain the EAL register and ensure that it is accessible to staff;</w:t>
      </w:r>
    </w:p>
    <w:p>
      <w:pPr>
        <w:pStyle w:val="Default"/>
        <w:numPr>
          <w:ilvl w:val="0"/>
          <w:numId w:val="30"/>
        </w:numPr>
        <w:jc w:val="both"/>
        <w:rPr>
          <w:rFonts w:ascii="Palatino Linotype" w:hAnsi="Palatino Linotype"/>
          <w:sz w:val="22"/>
          <w:szCs w:val="22"/>
        </w:rPr>
      </w:pPr>
      <w:r>
        <w:rPr>
          <w:rFonts w:ascii="Palatino Linotype" w:hAnsi="Palatino Linotype"/>
          <w:sz w:val="22"/>
          <w:szCs w:val="22"/>
        </w:rPr>
        <w:t>Use The Gateway Academy’s tracking and monitoring systems to identify under achievement.</w:t>
      </w:r>
    </w:p>
    <w:p>
      <w:pPr>
        <w:pStyle w:val="Default"/>
        <w:numPr>
          <w:ilvl w:val="0"/>
          <w:numId w:val="30"/>
        </w:numPr>
        <w:jc w:val="both"/>
        <w:rPr>
          <w:rFonts w:ascii="Palatino Linotype" w:hAnsi="Palatino Linotype"/>
          <w:sz w:val="22"/>
          <w:szCs w:val="22"/>
        </w:rPr>
      </w:pPr>
      <w:r>
        <w:rPr>
          <w:rFonts w:ascii="Palatino Linotype" w:hAnsi="Palatino Linotype"/>
          <w:sz w:val="22"/>
          <w:szCs w:val="22"/>
        </w:rPr>
        <w:t>Liaise with class teachers, tutors and Progress Leads to identify reasons for underachievement and use the internal referral system to broker additional support/intervention/assessment;</w:t>
      </w:r>
    </w:p>
    <w:p>
      <w:pPr>
        <w:pStyle w:val="Default"/>
        <w:numPr>
          <w:ilvl w:val="0"/>
          <w:numId w:val="30"/>
        </w:numPr>
        <w:jc w:val="both"/>
        <w:rPr>
          <w:rFonts w:ascii="Palatino Linotype" w:hAnsi="Palatino Linotype"/>
          <w:sz w:val="22"/>
          <w:szCs w:val="22"/>
        </w:rPr>
      </w:pPr>
      <w:r>
        <w:rPr>
          <w:rFonts w:ascii="Palatino Linotype" w:hAnsi="Palatino Linotype"/>
          <w:sz w:val="22"/>
          <w:szCs w:val="22"/>
        </w:rPr>
        <w:t>Maintain a positive relationship with EAL students and parents/carers.</w:t>
      </w:r>
    </w:p>
    <w:p>
      <w:pPr>
        <w:pStyle w:val="Default"/>
        <w:jc w:val="both"/>
        <w:rPr>
          <w:rFonts w:ascii="Palatino Linotype" w:hAnsi="Palatino Linotype"/>
          <w:sz w:val="22"/>
          <w:szCs w:val="22"/>
        </w:rPr>
      </w:pPr>
    </w:p>
    <w:p>
      <w:pPr>
        <w:pStyle w:val="Default"/>
        <w:jc w:val="both"/>
        <w:rPr>
          <w:rFonts w:ascii="Palatino Linotype" w:hAnsi="Palatino Linotype"/>
          <w:sz w:val="22"/>
          <w:szCs w:val="22"/>
        </w:rPr>
      </w:pPr>
      <w:r>
        <w:rPr>
          <w:rFonts w:ascii="Palatino Linotype" w:hAnsi="Palatino Linotype"/>
          <w:sz w:val="22"/>
          <w:szCs w:val="22"/>
        </w:rPr>
        <w:t>Curriculum and Exam Responsibilities</w:t>
      </w:r>
    </w:p>
    <w:p>
      <w:pPr>
        <w:pStyle w:val="Default"/>
        <w:numPr>
          <w:ilvl w:val="0"/>
          <w:numId w:val="30"/>
        </w:numPr>
        <w:jc w:val="both"/>
        <w:rPr>
          <w:rFonts w:ascii="Palatino Linotype" w:hAnsi="Palatino Linotype"/>
          <w:sz w:val="22"/>
          <w:szCs w:val="22"/>
        </w:rPr>
      </w:pPr>
      <w:r>
        <w:rPr>
          <w:rFonts w:ascii="Palatino Linotype" w:hAnsi="Palatino Linotype"/>
          <w:sz w:val="22"/>
          <w:szCs w:val="22"/>
        </w:rPr>
        <w:t>Plan, prepare and deliver learning to individuals, small groups and/or classes modifying and adapting activities to advance students’ learning as necessary;</w:t>
      </w:r>
    </w:p>
    <w:p>
      <w:pPr>
        <w:pStyle w:val="Default"/>
        <w:numPr>
          <w:ilvl w:val="0"/>
          <w:numId w:val="30"/>
        </w:numPr>
        <w:jc w:val="both"/>
        <w:rPr>
          <w:rFonts w:ascii="Palatino Linotype" w:hAnsi="Palatino Linotype"/>
          <w:sz w:val="22"/>
          <w:szCs w:val="22"/>
        </w:rPr>
      </w:pPr>
      <w:r>
        <w:rPr>
          <w:rFonts w:ascii="Palatino Linotype" w:hAnsi="Palatino Linotype"/>
          <w:sz w:val="22"/>
          <w:szCs w:val="22"/>
        </w:rPr>
        <w:t>Maintenance of resources e.g. bilingual dictionaries, EAL assessment tools;</w:t>
      </w:r>
    </w:p>
    <w:p>
      <w:pPr>
        <w:pStyle w:val="Default"/>
        <w:numPr>
          <w:ilvl w:val="0"/>
          <w:numId w:val="30"/>
        </w:numPr>
        <w:jc w:val="both"/>
        <w:rPr>
          <w:rFonts w:ascii="Palatino Linotype" w:hAnsi="Palatino Linotype"/>
          <w:sz w:val="22"/>
          <w:szCs w:val="22"/>
        </w:rPr>
      </w:pPr>
      <w:r>
        <w:rPr>
          <w:rFonts w:ascii="Palatino Linotype" w:hAnsi="Palatino Linotype"/>
          <w:sz w:val="22"/>
          <w:szCs w:val="22"/>
        </w:rPr>
        <w:t>Liaise with the Exams’ Officer with regards to access arrangements;</w:t>
      </w:r>
    </w:p>
    <w:p>
      <w:pPr>
        <w:pStyle w:val="Default"/>
        <w:numPr>
          <w:ilvl w:val="0"/>
          <w:numId w:val="30"/>
        </w:numPr>
        <w:jc w:val="both"/>
        <w:rPr>
          <w:rFonts w:ascii="Palatino Linotype" w:hAnsi="Palatino Linotype"/>
          <w:sz w:val="22"/>
          <w:szCs w:val="22"/>
        </w:rPr>
      </w:pPr>
      <w:r>
        <w:rPr>
          <w:rFonts w:ascii="Palatino Linotype" w:hAnsi="Palatino Linotype"/>
          <w:sz w:val="22"/>
          <w:szCs w:val="22"/>
        </w:rPr>
        <w:t>Liaise with Exams’ Officer re: GCSE entries for community languages of EAL students;</w:t>
      </w:r>
    </w:p>
    <w:p>
      <w:pPr>
        <w:pStyle w:val="Default"/>
        <w:numPr>
          <w:ilvl w:val="0"/>
          <w:numId w:val="30"/>
        </w:numPr>
        <w:jc w:val="both"/>
        <w:rPr>
          <w:rFonts w:ascii="Palatino Linotype" w:hAnsi="Palatino Linotype"/>
          <w:sz w:val="22"/>
          <w:szCs w:val="22"/>
        </w:rPr>
      </w:pPr>
      <w:r>
        <w:rPr>
          <w:rFonts w:ascii="Palatino Linotype" w:hAnsi="Palatino Linotype"/>
          <w:sz w:val="22"/>
          <w:szCs w:val="22"/>
        </w:rPr>
        <w:t>Liaise with the Academy’s librarian re: resources for EAL students;</w:t>
      </w:r>
    </w:p>
    <w:p>
      <w:pPr>
        <w:pStyle w:val="Default"/>
        <w:numPr>
          <w:ilvl w:val="0"/>
          <w:numId w:val="30"/>
        </w:numPr>
        <w:jc w:val="both"/>
        <w:rPr>
          <w:rFonts w:ascii="Palatino Linotype" w:hAnsi="Palatino Linotype"/>
          <w:sz w:val="22"/>
          <w:szCs w:val="22"/>
        </w:rPr>
      </w:pPr>
      <w:r>
        <w:rPr>
          <w:rFonts w:ascii="Palatino Linotype" w:hAnsi="Palatino Linotype"/>
          <w:sz w:val="22"/>
          <w:szCs w:val="22"/>
        </w:rPr>
        <w:t>Maintain an appropriate teaching space for students who have tutoring sessions for EAL;</w:t>
      </w:r>
    </w:p>
    <w:p>
      <w:pPr>
        <w:pStyle w:val="Default"/>
        <w:numPr>
          <w:ilvl w:val="0"/>
          <w:numId w:val="30"/>
        </w:numPr>
        <w:jc w:val="both"/>
        <w:rPr>
          <w:rFonts w:ascii="Palatino Linotype" w:hAnsi="Palatino Linotype"/>
          <w:sz w:val="22"/>
          <w:szCs w:val="22"/>
        </w:rPr>
      </w:pPr>
      <w:r>
        <w:rPr>
          <w:rFonts w:ascii="Palatino Linotype" w:hAnsi="Palatino Linotype"/>
          <w:sz w:val="22"/>
          <w:szCs w:val="22"/>
        </w:rPr>
        <w:t>Support the development of a strategy ensuring inclusion, equality of opportunity and respect for diversity;</w:t>
      </w:r>
    </w:p>
    <w:p>
      <w:pPr>
        <w:pStyle w:val="Default"/>
        <w:numPr>
          <w:ilvl w:val="0"/>
          <w:numId w:val="30"/>
        </w:numPr>
        <w:jc w:val="both"/>
        <w:rPr>
          <w:rFonts w:ascii="Palatino Linotype" w:hAnsi="Palatino Linotype"/>
          <w:sz w:val="22"/>
          <w:szCs w:val="22"/>
        </w:rPr>
      </w:pPr>
      <w:r>
        <w:rPr>
          <w:rFonts w:ascii="Palatino Linotype" w:hAnsi="Palatino Linotype"/>
          <w:sz w:val="22"/>
          <w:szCs w:val="22"/>
        </w:rPr>
        <w:t>Contribute to the development of The Academy’s policies and procedures;</w:t>
      </w:r>
    </w:p>
    <w:p>
      <w:pPr>
        <w:pStyle w:val="Default"/>
        <w:numPr>
          <w:ilvl w:val="0"/>
          <w:numId w:val="30"/>
        </w:numPr>
        <w:jc w:val="both"/>
        <w:rPr>
          <w:rFonts w:ascii="Palatino Linotype" w:hAnsi="Palatino Linotype"/>
        </w:rPr>
      </w:pPr>
      <w:r>
        <w:rPr>
          <w:rFonts w:ascii="Palatino Linotype" w:hAnsi="Palatino Linotype"/>
          <w:sz w:val="22"/>
          <w:szCs w:val="22"/>
        </w:rPr>
        <w:t>Monitor national policy and guidance and suggest amendments to the Academy’s EAL Policy in response</w:t>
      </w:r>
      <w:r>
        <w:rPr>
          <w:rFonts w:ascii="Palatino Linotype" w:hAnsi="Palatino Linotype"/>
        </w:rPr>
        <w:t>;</w:t>
      </w:r>
    </w:p>
    <w:p>
      <w:pPr>
        <w:pStyle w:val="Default"/>
        <w:jc w:val="both"/>
        <w:rPr>
          <w:rFonts w:ascii="Palatino Linotype" w:hAnsi="Palatino Linotype"/>
          <w:sz w:val="22"/>
          <w:szCs w:val="22"/>
        </w:rPr>
      </w:pPr>
    </w:p>
    <w:p>
      <w:pPr>
        <w:pStyle w:val="Default"/>
        <w:jc w:val="both"/>
        <w:rPr>
          <w:rFonts w:ascii="Palatino Linotype" w:hAnsi="Palatino Linotype"/>
          <w:sz w:val="22"/>
          <w:szCs w:val="22"/>
        </w:rPr>
      </w:pPr>
      <w:r>
        <w:rPr>
          <w:rFonts w:ascii="Palatino Linotype" w:hAnsi="Palatino Linotype"/>
          <w:sz w:val="22"/>
          <w:szCs w:val="22"/>
        </w:rPr>
        <w:t>Professional Development</w:t>
      </w:r>
    </w:p>
    <w:p>
      <w:pPr>
        <w:pStyle w:val="Default"/>
        <w:numPr>
          <w:ilvl w:val="0"/>
          <w:numId w:val="27"/>
        </w:numPr>
        <w:jc w:val="both"/>
        <w:rPr>
          <w:rFonts w:ascii="Palatino Linotype" w:hAnsi="Palatino Linotype"/>
          <w:sz w:val="22"/>
          <w:szCs w:val="22"/>
        </w:rPr>
      </w:pPr>
      <w:r>
        <w:rPr>
          <w:rFonts w:ascii="Palatino Linotype" w:hAnsi="Palatino Linotype"/>
          <w:sz w:val="22"/>
          <w:szCs w:val="22"/>
        </w:rPr>
        <w:t>To be committed to furthering your own professional development and participating in Performance Management and in-service training as necessary to optimise your performance in your role.</w:t>
      </w:r>
    </w:p>
    <w:p>
      <w:pPr>
        <w:pStyle w:val="Default"/>
        <w:jc w:val="both"/>
        <w:rPr>
          <w:rFonts w:ascii="Palatino Linotype" w:hAnsi="Palatino Linotype"/>
          <w:sz w:val="22"/>
          <w:szCs w:val="22"/>
        </w:rPr>
      </w:pPr>
    </w:p>
    <w:p>
      <w:pPr>
        <w:pStyle w:val="Default"/>
        <w:shd w:val="clear" w:color="auto" w:fill="FFFFFF" w:themeFill="background1"/>
        <w:jc w:val="both"/>
        <w:rPr>
          <w:rFonts w:ascii="Palatino Linotype" w:hAnsi="Palatino Linotype"/>
          <w:b/>
          <w:i/>
          <w:sz w:val="22"/>
          <w:szCs w:val="22"/>
        </w:rPr>
      </w:pPr>
      <w:r>
        <w:rPr>
          <w:rFonts w:ascii="Palatino Linotype" w:hAnsi="Palatino Linotype"/>
          <w:b/>
          <w:i/>
          <w:sz w:val="22"/>
          <w:szCs w:val="22"/>
        </w:rPr>
        <w:t>The duties above are neither exclusive nor exhaustive and the post holder may be required by the Head of School to carry out appropriate duties within the context of the job, skills and grade.</w:t>
      </w:r>
    </w:p>
    <w:p>
      <w:pPr>
        <w:pStyle w:val="Default"/>
        <w:jc w:val="both"/>
        <w:rPr>
          <w:rFonts w:ascii="Palatino Linotype" w:hAnsi="Palatino Linotype" w:cstheme="minorHAnsi"/>
          <w:b/>
          <w:color w:val="auto"/>
          <w:sz w:val="22"/>
          <w:szCs w:val="22"/>
        </w:rPr>
      </w:pPr>
    </w:p>
    <w:p>
      <w:pPr>
        <w:pStyle w:val="Default"/>
        <w:jc w:val="both"/>
        <w:rPr>
          <w:rFonts w:ascii="Palatino Linotype" w:hAnsi="Palatino Linotype" w:cstheme="minorHAnsi"/>
          <w:b/>
          <w:color w:val="auto"/>
          <w:sz w:val="22"/>
          <w:szCs w:val="22"/>
        </w:rPr>
      </w:pPr>
      <w:r>
        <w:rPr>
          <w:rFonts w:ascii="Palatino Linotype" w:hAnsi="Palatino Linotype" w:cstheme="minorHAnsi"/>
          <w:b/>
          <w:bCs/>
          <w:color w:val="auto"/>
          <w:sz w:val="22"/>
          <w:szCs w:val="22"/>
        </w:rPr>
        <w:t>Personal and professional conduct</w:t>
      </w:r>
    </w:p>
    <w:p>
      <w:pPr>
        <w:pStyle w:val="Default"/>
        <w:jc w:val="both"/>
        <w:rPr>
          <w:rFonts w:ascii="Palatino Linotype" w:hAnsi="Palatino Linotype" w:cstheme="minorHAnsi"/>
          <w:b/>
          <w:color w:val="auto"/>
          <w:sz w:val="22"/>
          <w:szCs w:val="22"/>
        </w:rPr>
      </w:pPr>
      <w:r>
        <w:rPr>
          <w:rFonts w:ascii="Palatino Linotype" w:hAnsi="Palatino Linotype" w:cstheme="minorHAnsi"/>
          <w:color w:val="auto"/>
          <w:sz w:val="22"/>
          <w:szCs w:val="22"/>
        </w:rPr>
        <w:t xml:space="preserve">All staff are expected to demonstrate consistently high standards of personal and professional conduct.  Staff working in the Academy uphold public trust in the profession and maintain high standards of ethics and behaviour, within and outside the Academy by: </w:t>
      </w:r>
    </w:p>
    <w:p>
      <w:pPr>
        <w:pStyle w:val="ListParagraph"/>
        <w:numPr>
          <w:ilvl w:val="0"/>
          <w:numId w:val="17"/>
        </w:numPr>
        <w:spacing w:after="0" w:line="240" w:lineRule="auto"/>
        <w:jc w:val="both"/>
        <w:rPr>
          <w:rFonts w:ascii="Palatino Linotype" w:hAnsi="Palatino Linotype" w:cstheme="minorHAnsi"/>
        </w:rPr>
      </w:pPr>
      <w:r>
        <w:rPr>
          <w:rFonts w:ascii="Palatino Linotype" w:hAnsi="Palatino Linotype" w:cstheme="minorHAnsi"/>
        </w:rPr>
        <w:t>Treating students with dignity, building relationships rooted in mutual respect and at all times observing proper boundaries appropriate to a staff member’s professional position;</w:t>
      </w:r>
    </w:p>
    <w:p>
      <w:pPr>
        <w:pStyle w:val="ListParagraph"/>
        <w:numPr>
          <w:ilvl w:val="0"/>
          <w:numId w:val="17"/>
        </w:numPr>
        <w:spacing w:after="0" w:line="240" w:lineRule="auto"/>
        <w:jc w:val="both"/>
        <w:rPr>
          <w:rFonts w:ascii="Palatino Linotype" w:hAnsi="Palatino Linotype" w:cstheme="minorHAnsi"/>
        </w:rPr>
      </w:pPr>
      <w:r>
        <w:rPr>
          <w:rFonts w:ascii="Palatino Linotype" w:hAnsi="Palatino Linotype" w:cstheme="minorHAnsi"/>
        </w:rPr>
        <w:t>Having regard for the need to safeguard students’ wellbeing, in accordance with statutory provisions;</w:t>
      </w:r>
    </w:p>
    <w:p>
      <w:pPr>
        <w:pStyle w:val="ListParagraph"/>
        <w:numPr>
          <w:ilvl w:val="0"/>
          <w:numId w:val="17"/>
        </w:numPr>
        <w:spacing w:after="0" w:line="240" w:lineRule="auto"/>
        <w:jc w:val="both"/>
        <w:rPr>
          <w:rFonts w:ascii="Palatino Linotype" w:hAnsi="Palatino Linotype" w:cstheme="minorHAnsi"/>
        </w:rPr>
      </w:pPr>
      <w:r>
        <w:rPr>
          <w:rFonts w:ascii="Palatino Linotype" w:hAnsi="Palatino Linotype" w:cstheme="minorHAnsi"/>
        </w:rPr>
        <w:t>Showing tolerance of and respect for the rights of others;</w:t>
      </w:r>
    </w:p>
    <w:p>
      <w:pPr>
        <w:pStyle w:val="ListParagraph"/>
        <w:numPr>
          <w:ilvl w:val="0"/>
          <w:numId w:val="17"/>
        </w:numPr>
        <w:spacing w:after="0" w:line="240" w:lineRule="auto"/>
        <w:jc w:val="both"/>
        <w:rPr>
          <w:rFonts w:ascii="Palatino Linotype" w:hAnsi="Palatino Linotype" w:cstheme="minorHAnsi"/>
        </w:rPr>
      </w:pPr>
      <w:r>
        <w:rPr>
          <w:rFonts w:ascii="Palatino Linotype" w:hAnsi="Palatino Linotype" w:cstheme="minorHAnsi"/>
        </w:rPr>
        <w:t>Not undermining fundamental British values, including democracy, the rule of law, individual liberty and mutual respect and tolerance of those with different faiths and beliefs;</w:t>
      </w:r>
    </w:p>
    <w:p>
      <w:pPr>
        <w:pStyle w:val="ListParagraph"/>
        <w:numPr>
          <w:ilvl w:val="0"/>
          <w:numId w:val="17"/>
        </w:numPr>
        <w:spacing w:after="0" w:line="240" w:lineRule="auto"/>
        <w:jc w:val="both"/>
        <w:rPr>
          <w:rFonts w:ascii="Palatino Linotype" w:hAnsi="Palatino Linotype" w:cstheme="minorHAnsi"/>
          <w:b/>
        </w:rPr>
      </w:pPr>
      <w:r>
        <w:rPr>
          <w:rFonts w:ascii="Palatino Linotype" w:hAnsi="Palatino Linotype" w:cstheme="minorHAnsi"/>
        </w:rPr>
        <w:t xml:space="preserve">Ensuring that personal beliefs are not expressed in ways which exploit students’ vulnerability or might lead them to break the law. </w:t>
      </w:r>
    </w:p>
    <w:p>
      <w:pPr>
        <w:pStyle w:val="Default"/>
        <w:jc w:val="both"/>
        <w:rPr>
          <w:rFonts w:ascii="Palatino Linotype" w:hAnsi="Palatino Linotype" w:cstheme="minorHAnsi"/>
          <w:b/>
          <w:color w:val="auto"/>
          <w:sz w:val="22"/>
          <w:szCs w:val="22"/>
        </w:rPr>
      </w:pPr>
    </w:p>
    <w:p>
      <w:pPr>
        <w:pStyle w:val="Default"/>
        <w:jc w:val="both"/>
        <w:rPr>
          <w:rFonts w:ascii="Palatino Linotype" w:hAnsi="Palatino Linotype" w:cstheme="minorHAnsi"/>
          <w:b/>
          <w:color w:val="auto"/>
          <w:sz w:val="22"/>
          <w:szCs w:val="22"/>
        </w:rPr>
      </w:pPr>
      <w:r>
        <w:rPr>
          <w:rFonts w:ascii="Palatino Linotype" w:hAnsi="Palatino Linotype" w:cstheme="minorHAnsi"/>
          <w:color w:val="auto"/>
          <w:sz w:val="22"/>
          <w:szCs w:val="22"/>
        </w:rPr>
        <w:t xml:space="preserve">Staff must have proper and professional regard for the ethos, policies and practices of the Academy in which they work and maintain high standards in their own attendance and punctuality. </w:t>
      </w:r>
    </w:p>
    <w:p>
      <w:pPr>
        <w:pStyle w:val="Default"/>
        <w:jc w:val="both"/>
        <w:rPr>
          <w:rFonts w:ascii="Palatino Linotype" w:hAnsi="Palatino Linotype" w:cstheme="minorHAnsi"/>
          <w:b/>
          <w:color w:val="auto"/>
          <w:sz w:val="22"/>
          <w:szCs w:val="22"/>
        </w:rPr>
      </w:pPr>
    </w:p>
    <w:p>
      <w:pPr>
        <w:pStyle w:val="Default"/>
        <w:jc w:val="both"/>
        <w:rPr>
          <w:rFonts w:ascii="Palatino Linotype" w:hAnsi="Palatino Linotype" w:cstheme="minorHAnsi"/>
          <w:b/>
          <w:color w:val="auto"/>
          <w:sz w:val="22"/>
          <w:szCs w:val="22"/>
        </w:rPr>
      </w:pPr>
      <w:r>
        <w:rPr>
          <w:rFonts w:ascii="Palatino Linotype" w:hAnsi="Palatino Linotype" w:cstheme="minorHAnsi"/>
          <w:color w:val="auto"/>
          <w:sz w:val="22"/>
          <w:szCs w:val="22"/>
        </w:rPr>
        <w:t xml:space="preserve">Staff must have an understanding of and always act within, the statutory frameworks which sets out their professional duties and responsibilities. </w:t>
      </w:r>
    </w:p>
    <w:p>
      <w:pPr>
        <w:spacing w:after="0" w:line="240" w:lineRule="auto"/>
        <w:jc w:val="both"/>
        <w:rPr>
          <w:rFonts w:ascii="Palatino Linotype" w:hAnsi="Palatino Linotype"/>
          <w:b/>
          <w:bCs/>
        </w:rPr>
      </w:pPr>
    </w:p>
    <w:p>
      <w:pPr>
        <w:spacing w:after="0" w:line="240" w:lineRule="auto"/>
        <w:jc w:val="both"/>
        <w:rPr>
          <w:rFonts w:ascii="Palatino Linotype" w:hAnsi="Palatino Linotype"/>
        </w:rPr>
      </w:pPr>
      <w:r>
        <w:rPr>
          <w:rFonts w:ascii="Palatino Linotype" w:hAnsi="Palatino Linotype"/>
          <w:b/>
          <w:bCs/>
        </w:rPr>
        <w:t>Other professional requirements and duties include:</w:t>
      </w:r>
    </w:p>
    <w:p>
      <w:pPr>
        <w:pStyle w:val="ListParagraph"/>
        <w:numPr>
          <w:ilvl w:val="0"/>
          <w:numId w:val="18"/>
        </w:numPr>
        <w:spacing w:after="0" w:line="240" w:lineRule="auto"/>
        <w:jc w:val="both"/>
        <w:rPr>
          <w:rFonts w:ascii="Palatino Linotype" w:hAnsi="Palatino Linotype" w:cstheme="minorHAnsi"/>
        </w:rPr>
      </w:pPr>
      <w:r>
        <w:rPr>
          <w:rFonts w:ascii="Palatino Linotype" w:hAnsi="Palatino Linotype" w:cstheme="minorHAnsi"/>
        </w:rPr>
        <w:t>Setting a good standard of behaviour and being a good role model for children, supporting the Academy’s Policies on Behaviour and Discipline and sharing responsibility for the behaviour of all children in the Academy;</w:t>
      </w:r>
    </w:p>
    <w:p>
      <w:pPr>
        <w:pStyle w:val="ListParagraph"/>
        <w:numPr>
          <w:ilvl w:val="0"/>
          <w:numId w:val="18"/>
        </w:numPr>
        <w:spacing w:after="0" w:line="240" w:lineRule="auto"/>
        <w:jc w:val="both"/>
        <w:rPr>
          <w:rFonts w:ascii="Palatino Linotype" w:hAnsi="Palatino Linotype" w:cstheme="minorHAnsi"/>
        </w:rPr>
      </w:pPr>
      <w:r>
        <w:rPr>
          <w:rFonts w:ascii="Palatino Linotype" w:hAnsi="Palatino Linotype" w:cstheme="minorHAnsi"/>
        </w:rPr>
        <w:t>Establishing good relationships with parents/carers, creating trust and confidence, communicating with parents/carers about general Academy issues, curriculum matters and individual children’s progress;</w:t>
      </w:r>
    </w:p>
    <w:p>
      <w:pPr>
        <w:pStyle w:val="ListParagraph"/>
        <w:numPr>
          <w:ilvl w:val="0"/>
          <w:numId w:val="18"/>
        </w:numPr>
        <w:spacing w:after="0" w:line="240" w:lineRule="auto"/>
        <w:jc w:val="both"/>
        <w:rPr>
          <w:rFonts w:ascii="Palatino Linotype" w:hAnsi="Palatino Linotype" w:cstheme="minorHAnsi"/>
        </w:rPr>
      </w:pPr>
      <w:r>
        <w:rPr>
          <w:rFonts w:ascii="Palatino Linotype" w:hAnsi="Palatino Linotype" w:cstheme="minorHAnsi"/>
        </w:rPr>
        <w:t>Developing and maintaining effective systems for communication with staff and the Head of School to ensure continuity of learning and consistency of approach;</w:t>
      </w:r>
    </w:p>
    <w:p>
      <w:pPr>
        <w:pStyle w:val="ListParagraph"/>
        <w:numPr>
          <w:ilvl w:val="0"/>
          <w:numId w:val="18"/>
        </w:numPr>
        <w:spacing w:after="0" w:line="240" w:lineRule="auto"/>
        <w:jc w:val="both"/>
        <w:rPr>
          <w:rFonts w:ascii="Palatino Linotype" w:hAnsi="Palatino Linotype" w:cstheme="minorHAnsi"/>
        </w:rPr>
      </w:pPr>
      <w:r>
        <w:rPr>
          <w:rFonts w:ascii="Palatino Linotype" w:hAnsi="Palatino Linotype" w:cstheme="minorHAnsi"/>
        </w:rPr>
        <w:t>Informing the Head of School of any concerns of parents/carers in relation to work or other aspects of education at the earliest opportunity;</w:t>
      </w:r>
    </w:p>
    <w:p>
      <w:pPr>
        <w:pStyle w:val="ListParagraph"/>
        <w:numPr>
          <w:ilvl w:val="0"/>
          <w:numId w:val="18"/>
        </w:numPr>
        <w:spacing w:after="0" w:line="240" w:lineRule="auto"/>
        <w:jc w:val="both"/>
        <w:rPr>
          <w:rFonts w:ascii="Palatino Linotype" w:hAnsi="Palatino Linotype" w:cstheme="minorHAnsi"/>
        </w:rPr>
      </w:pPr>
      <w:r>
        <w:rPr>
          <w:rFonts w:ascii="Palatino Linotype" w:hAnsi="Palatino Linotype" w:cstheme="minorHAnsi"/>
        </w:rPr>
        <w:t>Taking shared responsibility for the care and appearance of the Academy’s environment and to encourage all children to have pride in their Academy;</w:t>
      </w:r>
    </w:p>
    <w:p>
      <w:pPr>
        <w:pStyle w:val="ListParagraph"/>
        <w:numPr>
          <w:ilvl w:val="0"/>
          <w:numId w:val="18"/>
        </w:numPr>
        <w:spacing w:after="0" w:line="240" w:lineRule="auto"/>
        <w:jc w:val="both"/>
        <w:rPr>
          <w:rFonts w:ascii="Palatino Linotype" w:hAnsi="Palatino Linotype" w:cstheme="minorHAnsi"/>
        </w:rPr>
      </w:pPr>
      <w:r>
        <w:rPr>
          <w:rFonts w:ascii="Palatino Linotype" w:hAnsi="Palatino Linotype" w:cstheme="minorHAnsi"/>
        </w:rPr>
        <w:t>Being mutually supportive of other staff and the Head of School, to foster good working relationships and a happy working environment;</w:t>
      </w:r>
    </w:p>
    <w:p>
      <w:pPr>
        <w:pStyle w:val="ListParagraph"/>
        <w:numPr>
          <w:ilvl w:val="0"/>
          <w:numId w:val="18"/>
        </w:numPr>
        <w:spacing w:after="0" w:line="240" w:lineRule="auto"/>
        <w:jc w:val="both"/>
        <w:rPr>
          <w:rFonts w:ascii="Palatino Linotype" w:hAnsi="Palatino Linotype" w:cstheme="minorHAnsi"/>
        </w:rPr>
      </w:pPr>
      <w:r>
        <w:rPr>
          <w:rFonts w:ascii="Palatino Linotype" w:hAnsi="Palatino Linotype" w:cstheme="minorHAnsi"/>
        </w:rPr>
        <w:t>Participating in any arrangements for the appraisal of your performance;</w:t>
      </w:r>
    </w:p>
    <w:p>
      <w:pPr>
        <w:pStyle w:val="ListParagraph"/>
        <w:numPr>
          <w:ilvl w:val="0"/>
          <w:numId w:val="18"/>
        </w:numPr>
        <w:spacing w:after="0" w:line="240" w:lineRule="auto"/>
        <w:jc w:val="both"/>
        <w:rPr>
          <w:rFonts w:ascii="Palatino Linotype" w:hAnsi="Palatino Linotype" w:cstheme="minorHAnsi"/>
        </w:rPr>
      </w:pPr>
      <w:r>
        <w:rPr>
          <w:rFonts w:ascii="Palatino Linotype" w:hAnsi="Palatino Linotype" w:cstheme="minorHAnsi"/>
        </w:rPr>
        <w:t>Maintaining Academy confidentiality at all times;</w:t>
      </w:r>
    </w:p>
    <w:p>
      <w:pPr>
        <w:pStyle w:val="ListParagraph"/>
        <w:numPr>
          <w:ilvl w:val="0"/>
          <w:numId w:val="18"/>
        </w:numPr>
        <w:spacing w:after="0" w:line="240" w:lineRule="auto"/>
        <w:jc w:val="both"/>
        <w:rPr>
          <w:rFonts w:ascii="Palatino Linotype" w:hAnsi="Palatino Linotype" w:cstheme="minorHAnsi"/>
        </w:rPr>
      </w:pPr>
      <w:r>
        <w:rPr>
          <w:rFonts w:ascii="Palatino Linotype" w:hAnsi="Palatino Linotype" w:cstheme="minorHAnsi"/>
        </w:rPr>
        <w:t>Ensuring you are aware of your common law duty in relation to the health, safety and welfare of the children in the Academy or when leading activities off the Academy’s site and that all such procedures are followed in line with the Academy’s Policies and Procedures;</w:t>
      </w:r>
    </w:p>
    <w:p>
      <w:pPr>
        <w:pStyle w:val="ListParagraph"/>
        <w:numPr>
          <w:ilvl w:val="0"/>
          <w:numId w:val="18"/>
        </w:numPr>
        <w:spacing w:after="0" w:line="240" w:lineRule="auto"/>
        <w:jc w:val="both"/>
        <w:rPr>
          <w:rFonts w:ascii="Palatino Linotype" w:hAnsi="Palatino Linotype"/>
        </w:rPr>
      </w:pPr>
      <w:r>
        <w:rPr>
          <w:rFonts w:ascii="Palatino Linotype" w:hAnsi="Palatino Linotype" w:cstheme="minorHAnsi"/>
        </w:rPr>
        <w:t>Knowing the legal responsibilities in relation to the Race Relations Act 1976, Sex Discrimination Act 1975, Children’s Act 1989, Child Protection procedures, appropriate physical contact a</w:t>
      </w:r>
      <w:r>
        <w:rPr>
          <w:rFonts w:ascii="Palatino Linotype" w:hAnsi="Palatino Linotype"/>
        </w:rPr>
        <w:t>nd physical restraint of students and other relevant DFE circulars.</w:t>
      </w:r>
    </w:p>
    <w:p>
      <w:pPr>
        <w:jc w:val="both"/>
        <w:rPr>
          <w:rFonts w:ascii="Palatino Linotype" w:hAnsi="Palatino Linotype"/>
        </w:rPr>
        <w:sectPr>
          <w:headerReference w:type="even" r:id="rId8"/>
          <w:headerReference w:type="default" r:id="rId9"/>
          <w:footerReference w:type="default" r:id="rId10"/>
          <w:headerReference w:type="first" r:id="rId11"/>
          <w:pgSz w:w="11906" w:h="16838"/>
          <w:pgMar w:top="1418" w:right="1134" w:bottom="1560" w:left="1134" w:header="709" w:footer="709" w:gutter="0"/>
          <w:cols w:space="708"/>
          <w:docGrid w:linePitch="360"/>
        </w:sectPr>
      </w:pPr>
    </w:p>
    <w:p>
      <w:pPr>
        <w:spacing w:after="0" w:line="240" w:lineRule="auto"/>
        <w:ind w:left="-360"/>
        <w:jc w:val="both"/>
        <w:rPr>
          <w:rFonts w:ascii="Palatino Linotype" w:hAnsi="Palatino Linotype"/>
          <w:b/>
        </w:rPr>
      </w:pPr>
      <w:r>
        <w:rPr>
          <w:rFonts w:ascii="Palatino Linotype" w:hAnsi="Palatino Linotype"/>
          <w:b/>
        </w:rPr>
        <w:t>PERSON SPECIFICATION</w:t>
      </w:r>
    </w:p>
    <w:p>
      <w:pPr>
        <w:spacing w:after="0" w:line="240" w:lineRule="auto"/>
        <w:ind w:left="-360"/>
        <w:jc w:val="both"/>
        <w:rPr>
          <w:rFonts w:ascii="Palatino Linotype" w:hAnsi="Palatino Linotype"/>
          <w:b/>
        </w:rPr>
      </w:pPr>
    </w:p>
    <w:p>
      <w:pPr>
        <w:spacing w:after="0" w:line="240" w:lineRule="auto"/>
        <w:ind w:left="-360"/>
        <w:jc w:val="both"/>
        <w:rPr>
          <w:rFonts w:ascii="Palatino Linotype" w:hAnsi="Palatino Linotype"/>
          <w:b/>
        </w:rPr>
      </w:pPr>
      <w:r>
        <w:rPr>
          <w:rFonts w:ascii="Palatino Linotype" w:hAnsi="Palatino Linotype"/>
          <w:b/>
        </w:rPr>
        <w:t>EAL Coordinator</w:t>
      </w:r>
    </w:p>
    <w:p>
      <w:pPr>
        <w:spacing w:after="0" w:line="240" w:lineRule="auto"/>
        <w:ind w:left="-360"/>
        <w:jc w:val="both"/>
        <w:rPr>
          <w:rFonts w:ascii="Palatino Linotype" w:hAnsi="Palatino Linotype"/>
          <w:b/>
        </w:rPr>
      </w:pPr>
    </w:p>
    <w:tbl>
      <w:tblPr>
        <w:tblW w:w="1105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2977"/>
        <w:gridCol w:w="5953"/>
      </w:tblGrid>
      <w:tr>
        <w:trPr>
          <w:tblHeader/>
        </w:trPr>
        <w:tc>
          <w:tcPr>
            <w:tcW w:w="2127" w:type="dxa"/>
            <w:shd w:val="clear" w:color="auto" w:fill="auto"/>
          </w:tcPr>
          <w:p>
            <w:pPr>
              <w:spacing w:after="0" w:line="240" w:lineRule="auto"/>
              <w:rPr>
                <w:rFonts w:ascii="Palatino Linotype" w:hAnsi="Palatino Linotype"/>
                <w:b/>
              </w:rPr>
            </w:pPr>
            <w:r>
              <w:rPr>
                <w:rFonts w:ascii="Palatino Linotype" w:hAnsi="Palatino Linotype"/>
                <w:b/>
              </w:rPr>
              <w:t>General heading</w:t>
            </w:r>
          </w:p>
          <w:p>
            <w:pPr>
              <w:spacing w:after="0" w:line="240" w:lineRule="auto"/>
              <w:rPr>
                <w:rFonts w:ascii="Palatino Linotype" w:hAnsi="Palatino Linotype"/>
                <w:b/>
              </w:rPr>
            </w:pPr>
          </w:p>
        </w:tc>
        <w:tc>
          <w:tcPr>
            <w:tcW w:w="2977" w:type="dxa"/>
            <w:shd w:val="clear" w:color="auto" w:fill="auto"/>
          </w:tcPr>
          <w:p>
            <w:pPr>
              <w:spacing w:after="0" w:line="240" w:lineRule="auto"/>
              <w:rPr>
                <w:rFonts w:ascii="Palatino Linotype" w:hAnsi="Palatino Linotype"/>
                <w:b/>
              </w:rPr>
            </w:pPr>
            <w:r>
              <w:rPr>
                <w:rFonts w:ascii="Palatino Linotype" w:hAnsi="Palatino Linotype"/>
                <w:b/>
              </w:rPr>
              <w:t>Detail</w:t>
            </w:r>
          </w:p>
        </w:tc>
        <w:tc>
          <w:tcPr>
            <w:tcW w:w="5953" w:type="dxa"/>
            <w:shd w:val="clear" w:color="auto" w:fill="auto"/>
          </w:tcPr>
          <w:p>
            <w:pPr>
              <w:spacing w:after="0" w:line="240" w:lineRule="auto"/>
              <w:jc w:val="both"/>
              <w:rPr>
                <w:rFonts w:ascii="Palatino Linotype" w:hAnsi="Palatino Linotype"/>
                <w:b/>
              </w:rPr>
            </w:pPr>
            <w:r>
              <w:rPr>
                <w:rFonts w:ascii="Palatino Linotype" w:hAnsi="Palatino Linotype"/>
                <w:b/>
              </w:rPr>
              <w:t xml:space="preserve">Desirable/Essential </w:t>
            </w:r>
          </w:p>
        </w:tc>
      </w:tr>
      <w:tr>
        <w:tc>
          <w:tcPr>
            <w:tcW w:w="2127" w:type="dxa"/>
            <w:vMerge w:val="restart"/>
            <w:shd w:val="clear" w:color="auto" w:fill="auto"/>
          </w:tcPr>
          <w:p>
            <w:pPr>
              <w:spacing w:after="0" w:line="240" w:lineRule="auto"/>
              <w:rPr>
                <w:rFonts w:ascii="Palatino Linotype" w:hAnsi="Palatino Linotype"/>
                <w:b/>
              </w:rPr>
            </w:pPr>
            <w:r>
              <w:rPr>
                <w:rFonts w:ascii="Palatino Linotype" w:hAnsi="Palatino Linotype"/>
                <w:b/>
              </w:rPr>
              <w:t>Qualifications and Experience</w:t>
            </w:r>
          </w:p>
        </w:tc>
        <w:tc>
          <w:tcPr>
            <w:tcW w:w="2977" w:type="dxa"/>
            <w:shd w:val="clear" w:color="auto" w:fill="auto"/>
          </w:tcPr>
          <w:p>
            <w:pPr>
              <w:spacing w:after="0" w:line="240" w:lineRule="auto"/>
              <w:rPr>
                <w:rFonts w:ascii="Palatino Linotype" w:hAnsi="Palatino Linotype"/>
              </w:rPr>
            </w:pPr>
            <w:r>
              <w:rPr>
                <w:rFonts w:ascii="Palatino Linotype" w:hAnsi="Palatino Linotype"/>
              </w:rPr>
              <w:t>Specific qualifications and experience</w:t>
            </w:r>
          </w:p>
        </w:tc>
        <w:tc>
          <w:tcPr>
            <w:tcW w:w="5953" w:type="dxa"/>
            <w:shd w:val="clear" w:color="auto" w:fill="auto"/>
          </w:tcPr>
          <w:p>
            <w:pPr>
              <w:pStyle w:val="ListParagraph"/>
              <w:numPr>
                <w:ilvl w:val="0"/>
                <w:numId w:val="28"/>
              </w:numPr>
              <w:spacing w:after="0" w:line="240" w:lineRule="auto"/>
              <w:jc w:val="both"/>
              <w:rPr>
                <w:rFonts w:ascii="Palatino Linotype" w:hAnsi="Palatino Linotype"/>
              </w:rPr>
            </w:pPr>
            <w:r>
              <w:rPr>
                <w:rFonts w:ascii="Palatino Linotype" w:hAnsi="Palatino Linotype"/>
              </w:rPr>
              <w:t>Experience of delivering specific EAL Tutoring to students. (Desirable)</w:t>
            </w:r>
          </w:p>
          <w:p>
            <w:pPr>
              <w:pStyle w:val="ListParagraph"/>
              <w:numPr>
                <w:ilvl w:val="0"/>
                <w:numId w:val="28"/>
              </w:numPr>
              <w:spacing w:after="0" w:line="240" w:lineRule="auto"/>
              <w:jc w:val="both"/>
              <w:rPr>
                <w:rFonts w:ascii="Palatino Linotype" w:hAnsi="Palatino Linotype"/>
              </w:rPr>
            </w:pPr>
            <w:r>
              <w:rPr>
                <w:rFonts w:ascii="Palatino Linotype" w:hAnsi="Palatino Linotype"/>
              </w:rPr>
              <w:t>Experience of administrative work in a busy and often challenging environment. (Desirable)</w:t>
            </w:r>
          </w:p>
          <w:p>
            <w:pPr>
              <w:pStyle w:val="ListParagraph"/>
              <w:numPr>
                <w:ilvl w:val="0"/>
                <w:numId w:val="28"/>
              </w:numPr>
              <w:spacing w:after="0" w:line="240" w:lineRule="auto"/>
              <w:jc w:val="both"/>
              <w:rPr>
                <w:rFonts w:ascii="Palatino Linotype" w:hAnsi="Palatino Linotype"/>
              </w:rPr>
            </w:pPr>
            <w:r>
              <w:rPr>
                <w:rFonts w:ascii="Palatino Linotype" w:hAnsi="Palatino Linotype"/>
              </w:rPr>
              <w:t>Formal GCSE qualifications (minimum C grade in English) or equivalent. (Desirable)</w:t>
            </w:r>
          </w:p>
        </w:tc>
      </w:tr>
      <w:tr>
        <w:tc>
          <w:tcPr>
            <w:tcW w:w="2127" w:type="dxa"/>
            <w:vMerge/>
            <w:shd w:val="clear" w:color="auto" w:fill="auto"/>
          </w:tcPr>
          <w:p>
            <w:pPr>
              <w:spacing w:after="0" w:line="240" w:lineRule="auto"/>
              <w:rPr>
                <w:rFonts w:ascii="Palatino Linotype" w:hAnsi="Palatino Linotype"/>
                <w:b/>
              </w:rPr>
            </w:pPr>
          </w:p>
        </w:tc>
        <w:tc>
          <w:tcPr>
            <w:tcW w:w="2977" w:type="dxa"/>
            <w:shd w:val="clear" w:color="auto" w:fill="auto"/>
          </w:tcPr>
          <w:p>
            <w:pPr>
              <w:spacing w:after="0" w:line="240" w:lineRule="auto"/>
              <w:rPr>
                <w:rFonts w:ascii="Palatino Linotype" w:hAnsi="Palatino Linotype"/>
              </w:rPr>
            </w:pPr>
            <w:r>
              <w:rPr>
                <w:rFonts w:ascii="Palatino Linotype" w:hAnsi="Palatino Linotype"/>
              </w:rPr>
              <w:t>Knowledge of relevant policies and procedures</w:t>
            </w:r>
          </w:p>
        </w:tc>
        <w:tc>
          <w:tcPr>
            <w:tcW w:w="5953" w:type="dxa"/>
            <w:shd w:val="clear" w:color="auto" w:fill="auto"/>
          </w:tcPr>
          <w:p>
            <w:pPr>
              <w:pStyle w:val="ListParagraph"/>
              <w:numPr>
                <w:ilvl w:val="0"/>
                <w:numId w:val="28"/>
              </w:numPr>
              <w:spacing w:after="0" w:line="240" w:lineRule="auto"/>
              <w:jc w:val="both"/>
              <w:rPr>
                <w:rFonts w:ascii="Palatino Linotype" w:hAnsi="Palatino Linotype"/>
              </w:rPr>
            </w:pPr>
            <w:r>
              <w:rPr>
                <w:rFonts w:ascii="Palatino Linotype" w:hAnsi="Palatino Linotype"/>
              </w:rPr>
              <w:t>Working knowledge of general school policies and procedures. (Desirable)</w:t>
            </w:r>
          </w:p>
        </w:tc>
      </w:tr>
      <w:tr>
        <w:tc>
          <w:tcPr>
            <w:tcW w:w="2127" w:type="dxa"/>
            <w:vMerge/>
            <w:shd w:val="clear" w:color="auto" w:fill="auto"/>
          </w:tcPr>
          <w:p>
            <w:pPr>
              <w:spacing w:after="0" w:line="240" w:lineRule="auto"/>
              <w:rPr>
                <w:rFonts w:ascii="Palatino Linotype" w:hAnsi="Palatino Linotype"/>
                <w:b/>
              </w:rPr>
            </w:pPr>
          </w:p>
        </w:tc>
        <w:tc>
          <w:tcPr>
            <w:tcW w:w="2977" w:type="dxa"/>
            <w:shd w:val="clear" w:color="auto" w:fill="auto"/>
          </w:tcPr>
          <w:p>
            <w:pPr>
              <w:spacing w:after="0" w:line="240" w:lineRule="auto"/>
              <w:rPr>
                <w:rFonts w:ascii="Palatino Linotype" w:hAnsi="Palatino Linotype"/>
              </w:rPr>
            </w:pPr>
            <w:r>
              <w:rPr>
                <w:rFonts w:ascii="Palatino Linotype" w:hAnsi="Palatino Linotype"/>
              </w:rPr>
              <w:t>Literacy</w:t>
            </w:r>
          </w:p>
        </w:tc>
        <w:tc>
          <w:tcPr>
            <w:tcW w:w="5953" w:type="dxa"/>
            <w:shd w:val="clear" w:color="auto" w:fill="auto"/>
          </w:tcPr>
          <w:p>
            <w:pPr>
              <w:pStyle w:val="ListParagraph"/>
              <w:numPr>
                <w:ilvl w:val="0"/>
                <w:numId w:val="28"/>
              </w:numPr>
              <w:spacing w:after="0" w:line="240" w:lineRule="auto"/>
              <w:jc w:val="both"/>
              <w:rPr>
                <w:rFonts w:ascii="Palatino Linotype" w:hAnsi="Palatino Linotype"/>
              </w:rPr>
            </w:pPr>
            <w:r>
              <w:rPr>
                <w:rFonts w:ascii="Palatino Linotype" w:hAnsi="Palatino Linotype"/>
              </w:rPr>
              <w:t>Excellent reading and writing skills. (Essential)</w:t>
            </w:r>
          </w:p>
        </w:tc>
      </w:tr>
      <w:tr>
        <w:tc>
          <w:tcPr>
            <w:tcW w:w="2127" w:type="dxa"/>
            <w:vMerge/>
            <w:shd w:val="clear" w:color="auto" w:fill="auto"/>
          </w:tcPr>
          <w:p>
            <w:pPr>
              <w:spacing w:after="0" w:line="240" w:lineRule="auto"/>
              <w:rPr>
                <w:rFonts w:ascii="Palatino Linotype" w:hAnsi="Palatino Linotype"/>
                <w:b/>
              </w:rPr>
            </w:pPr>
          </w:p>
        </w:tc>
        <w:tc>
          <w:tcPr>
            <w:tcW w:w="2977" w:type="dxa"/>
            <w:shd w:val="clear" w:color="auto" w:fill="auto"/>
          </w:tcPr>
          <w:p>
            <w:pPr>
              <w:spacing w:after="0" w:line="240" w:lineRule="auto"/>
              <w:rPr>
                <w:rFonts w:ascii="Palatino Linotype" w:hAnsi="Palatino Linotype"/>
              </w:rPr>
            </w:pPr>
            <w:r>
              <w:rPr>
                <w:rFonts w:ascii="Palatino Linotype" w:hAnsi="Palatino Linotype"/>
              </w:rPr>
              <w:t>Numeracy</w:t>
            </w:r>
          </w:p>
        </w:tc>
        <w:tc>
          <w:tcPr>
            <w:tcW w:w="5953" w:type="dxa"/>
            <w:shd w:val="clear" w:color="auto" w:fill="auto"/>
          </w:tcPr>
          <w:p>
            <w:pPr>
              <w:pStyle w:val="ListParagraph"/>
              <w:numPr>
                <w:ilvl w:val="0"/>
                <w:numId w:val="28"/>
              </w:numPr>
              <w:spacing w:after="0" w:line="240" w:lineRule="auto"/>
              <w:jc w:val="both"/>
              <w:rPr>
                <w:rFonts w:ascii="Palatino Linotype" w:hAnsi="Palatino Linotype"/>
              </w:rPr>
            </w:pPr>
            <w:r>
              <w:rPr>
                <w:rFonts w:ascii="Palatino Linotype" w:hAnsi="Palatino Linotype"/>
              </w:rPr>
              <w:t>Ability to count and undertake calculations. (Essential)</w:t>
            </w:r>
          </w:p>
        </w:tc>
      </w:tr>
      <w:tr>
        <w:tc>
          <w:tcPr>
            <w:tcW w:w="2127" w:type="dxa"/>
            <w:vMerge/>
            <w:shd w:val="clear" w:color="auto" w:fill="auto"/>
          </w:tcPr>
          <w:p>
            <w:pPr>
              <w:spacing w:after="0" w:line="240" w:lineRule="auto"/>
              <w:rPr>
                <w:rFonts w:ascii="Palatino Linotype" w:hAnsi="Palatino Linotype"/>
                <w:b/>
              </w:rPr>
            </w:pPr>
          </w:p>
        </w:tc>
        <w:tc>
          <w:tcPr>
            <w:tcW w:w="2977" w:type="dxa"/>
            <w:shd w:val="clear" w:color="auto" w:fill="auto"/>
          </w:tcPr>
          <w:p>
            <w:pPr>
              <w:spacing w:after="0" w:line="240" w:lineRule="auto"/>
              <w:rPr>
                <w:rFonts w:ascii="Palatino Linotype" w:hAnsi="Palatino Linotype"/>
              </w:rPr>
            </w:pPr>
            <w:r>
              <w:rPr>
                <w:rFonts w:ascii="Palatino Linotype" w:hAnsi="Palatino Linotype"/>
              </w:rPr>
              <w:t>Technology</w:t>
            </w:r>
          </w:p>
        </w:tc>
        <w:tc>
          <w:tcPr>
            <w:tcW w:w="5953" w:type="dxa"/>
            <w:shd w:val="clear" w:color="auto" w:fill="auto"/>
          </w:tcPr>
          <w:p>
            <w:pPr>
              <w:pStyle w:val="ListParagraph"/>
              <w:numPr>
                <w:ilvl w:val="0"/>
                <w:numId w:val="28"/>
              </w:numPr>
              <w:spacing w:after="0" w:line="240" w:lineRule="auto"/>
              <w:jc w:val="both"/>
              <w:rPr>
                <w:rFonts w:ascii="Palatino Linotype" w:hAnsi="Palatino Linotype"/>
              </w:rPr>
            </w:pPr>
            <w:r>
              <w:rPr>
                <w:rFonts w:ascii="Palatino Linotype" w:hAnsi="Palatino Linotype"/>
              </w:rPr>
              <w:t>Ability to use Word / Excel / PowerPoint. (Essential)</w:t>
            </w:r>
          </w:p>
        </w:tc>
      </w:tr>
      <w:tr>
        <w:tc>
          <w:tcPr>
            <w:tcW w:w="2127" w:type="dxa"/>
            <w:vMerge w:val="restart"/>
            <w:shd w:val="clear" w:color="auto" w:fill="auto"/>
          </w:tcPr>
          <w:p>
            <w:pPr>
              <w:spacing w:after="0" w:line="240" w:lineRule="auto"/>
              <w:rPr>
                <w:rFonts w:ascii="Palatino Linotype" w:hAnsi="Palatino Linotype"/>
                <w:b/>
              </w:rPr>
            </w:pPr>
            <w:r>
              <w:rPr>
                <w:rFonts w:ascii="Palatino Linotype" w:hAnsi="Palatino Linotype"/>
                <w:b/>
              </w:rPr>
              <w:t>Communication</w:t>
            </w:r>
          </w:p>
        </w:tc>
        <w:tc>
          <w:tcPr>
            <w:tcW w:w="2977" w:type="dxa"/>
            <w:shd w:val="clear" w:color="auto" w:fill="auto"/>
          </w:tcPr>
          <w:p>
            <w:pPr>
              <w:spacing w:after="0" w:line="240" w:lineRule="auto"/>
              <w:rPr>
                <w:rFonts w:ascii="Palatino Linotype" w:hAnsi="Palatino Linotype"/>
              </w:rPr>
            </w:pPr>
            <w:r>
              <w:rPr>
                <w:rFonts w:ascii="Palatino Linotype" w:hAnsi="Palatino Linotype"/>
              </w:rPr>
              <w:t>Written</w:t>
            </w:r>
          </w:p>
        </w:tc>
        <w:tc>
          <w:tcPr>
            <w:tcW w:w="5953" w:type="dxa"/>
            <w:shd w:val="clear" w:color="auto" w:fill="auto"/>
          </w:tcPr>
          <w:p>
            <w:pPr>
              <w:pStyle w:val="ListParagraph"/>
              <w:numPr>
                <w:ilvl w:val="0"/>
                <w:numId w:val="28"/>
              </w:numPr>
              <w:spacing w:after="0" w:line="240" w:lineRule="auto"/>
              <w:jc w:val="both"/>
              <w:rPr>
                <w:rFonts w:ascii="Palatino Linotype" w:hAnsi="Palatino Linotype"/>
              </w:rPr>
            </w:pPr>
            <w:r>
              <w:rPr>
                <w:rFonts w:ascii="Palatino Linotype" w:hAnsi="Palatino Linotype"/>
              </w:rPr>
              <w:t>Ability to complete detailed reports, forms and letters to a deadline. (Essential)</w:t>
            </w:r>
          </w:p>
        </w:tc>
      </w:tr>
      <w:tr>
        <w:tc>
          <w:tcPr>
            <w:tcW w:w="2127" w:type="dxa"/>
            <w:vMerge/>
            <w:shd w:val="clear" w:color="auto" w:fill="auto"/>
          </w:tcPr>
          <w:p>
            <w:pPr>
              <w:spacing w:after="0" w:line="240" w:lineRule="auto"/>
              <w:rPr>
                <w:rFonts w:ascii="Palatino Linotype" w:hAnsi="Palatino Linotype"/>
                <w:b/>
              </w:rPr>
            </w:pPr>
          </w:p>
        </w:tc>
        <w:tc>
          <w:tcPr>
            <w:tcW w:w="2977" w:type="dxa"/>
            <w:shd w:val="clear" w:color="auto" w:fill="auto"/>
          </w:tcPr>
          <w:p>
            <w:pPr>
              <w:spacing w:after="0" w:line="240" w:lineRule="auto"/>
              <w:rPr>
                <w:rFonts w:ascii="Palatino Linotype" w:hAnsi="Palatino Linotype"/>
              </w:rPr>
            </w:pPr>
            <w:r>
              <w:rPr>
                <w:rFonts w:ascii="Palatino Linotype" w:hAnsi="Palatino Linotype"/>
              </w:rPr>
              <w:t>Verbal</w:t>
            </w:r>
          </w:p>
        </w:tc>
        <w:tc>
          <w:tcPr>
            <w:tcW w:w="5953" w:type="dxa"/>
            <w:shd w:val="clear" w:color="auto" w:fill="auto"/>
          </w:tcPr>
          <w:p>
            <w:pPr>
              <w:pStyle w:val="ListParagraph"/>
              <w:numPr>
                <w:ilvl w:val="0"/>
                <w:numId w:val="28"/>
              </w:numPr>
              <w:spacing w:after="0" w:line="240" w:lineRule="auto"/>
              <w:jc w:val="both"/>
              <w:rPr>
                <w:rFonts w:ascii="Palatino Linotype" w:hAnsi="Palatino Linotype"/>
              </w:rPr>
            </w:pPr>
            <w:r>
              <w:rPr>
                <w:rFonts w:ascii="Palatino Linotype" w:hAnsi="Palatino Linotype"/>
              </w:rPr>
              <w:t>Ability to exchange verbal information clearly and sensitively with children and adults. (Essential)</w:t>
            </w:r>
          </w:p>
        </w:tc>
      </w:tr>
      <w:tr>
        <w:tc>
          <w:tcPr>
            <w:tcW w:w="2127" w:type="dxa"/>
            <w:vMerge/>
            <w:shd w:val="clear" w:color="auto" w:fill="auto"/>
          </w:tcPr>
          <w:p>
            <w:pPr>
              <w:spacing w:after="0" w:line="240" w:lineRule="auto"/>
              <w:rPr>
                <w:rFonts w:ascii="Palatino Linotype" w:hAnsi="Palatino Linotype"/>
                <w:b/>
              </w:rPr>
            </w:pPr>
          </w:p>
        </w:tc>
        <w:tc>
          <w:tcPr>
            <w:tcW w:w="2977" w:type="dxa"/>
            <w:shd w:val="clear" w:color="auto" w:fill="auto"/>
          </w:tcPr>
          <w:p>
            <w:pPr>
              <w:spacing w:after="0" w:line="240" w:lineRule="auto"/>
              <w:rPr>
                <w:rFonts w:ascii="Palatino Linotype" w:hAnsi="Palatino Linotype"/>
              </w:rPr>
            </w:pPr>
            <w:r>
              <w:rPr>
                <w:rFonts w:ascii="Palatino Linotype" w:hAnsi="Palatino Linotype"/>
              </w:rPr>
              <w:t>Languages</w:t>
            </w:r>
          </w:p>
        </w:tc>
        <w:tc>
          <w:tcPr>
            <w:tcW w:w="5953" w:type="dxa"/>
            <w:shd w:val="clear" w:color="auto" w:fill="auto"/>
          </w:tcPr>
          <w:p>
            <w:pPr>
              <w:pStyle w:val="ListParagraph"/>
              <w:numPr>
                <w:ilvl w:val="0"/>
                <w:numId w:val="28"/>
              </w:numPr>
              <w:spacing w:after="0" w:line="240" w:lineRule="auto"/>
              <w:jc w:val="both"/>
              <w:rPr>
                <w:rFonts w:ascii="Palatino Linotype" w:hAnsi="Palatino Linotype"/>
              </w:rPr>
            </w:pPr>
            <w:r>
              <w:rPr>
                <w:rFonts w:ascii="Palatino Linotype" w:hAnsi="Palatino Linotype"/>
              </w:rPr>
              <w:t>Overcome communication barriers with children and adults. (Essential)</w:t>
            </w:r>
          </w:p>
        </w:tc>
      </w:tr>
      <w:tr>
        <w:tc>
          <w:tcPr>
            <w:tcW w:w="2127" w:type="dxa"/>
            <w:vMerge/>
            <w:shd w:val="clear" w:color="auto" w:fill="auto"/>
          </w:tcPr>
          <w:p>
            <w:pPr>
              <w:spacing w:after="0" w:line="240" w:lineRule="auto"/>
              <w:rPr>
                <w:rFonts w:ascii="Palatino Linotype" w:hAnsi="Palatino Linotype"/>
                <w:b/>
              </w:rPr>
            </w:pPr>
          </w:p>
        </w:tc>
        <w:tc>
          <w:tcPr>
            <w:tcW w:w="2977" w:type="dxa"/>
            <w:shd w:val="clear" w:color="auto" w:fill="auto"/>
          </w:tcPr>
          <w:p>
            <w:pPr>
              <w:spacing w:after="0" w:line="240" w:lineRule="auto"/>
              <w:rPr>
                <w:rFonts w:ascii="Palatino Linotype" w:hAnsi="Palatino Linotype"/>
              </w:rPr>
            </w:pPr>
            <w:r>
              <w:rPr>
                <w:rFonts w:ascii="Palatino Linotype" w:hAnsi="Palatino Linotype"/>
              </w:rPr>
              <w:t>Negotiating</w:t>
            </w:r>
          </w:p>
        </w:tc>
        <w:tc>
          <w:tcPr>
            <w:tcW w:w="5953" w:type="dxa"/>
            <w:shd w:val="clear" w:color="auto" w:fill="auto"/>
          </w:tcPr>
          <w:p>
            <w:pPr>
              <w:pStyle w:val="ListParagraph"/>
              <w:numPr>
                <w:ilvl w:val="0"/>
                <w:numId w:val="28"/>
              </w:numPr>
              <w:spacing w:after="0" w:line="240" w:lineRule="auto"/>
              <w:jc w:val="both"/>
              <w:rPr>
                <w:rFonts w:ascii="Palatino Linotype" w:hAnsi="Palatino Linotype"/>
              </w:rPr>
            </w:pPr>
            <w:r>
              <w:rPr>
                <w:rFonts w:ascii="Palatino Linotype" w:hAnsi="Palatino Linotype"/>
              </w:rPr>
              <w:t>Ability to consult with colleagues in an effective way. (Essential)</w:t>
            </w:r>
          </w:p>
        </w:tc>
      </w:tr>
      <w:tr>
        <w:tc>
          <w:tcPr>
            <w:tcW w:w="2127" w:type="dxa"/>
            <w:vMerge w:val="restart"/>
            <w:shd w:val="clear" w:color="auto" w:fill="auto"/>
          </w:tcPr>
          <w:p>
            <w:pPr>
              <w:spacing w:after="0" w:line="240" w:lineRule="auto"/>
              <w:rPr>
                <w:rFonts w:ascii="Palatino Linotype" w:hAnsi="Palatino Linotype"/>
                <w:b/>
              </w:rPr>
            </w:pPr>
            <w:r>
              <w:rPr>
                <w:rFonts w:ascii="Palatino Linotype" w:hAnsi="Palatino Linotype"/>
                <w:b/>
              </w:rPr>
              <w:t>Working with children</w:t>
            </w:r>
          </w:p>
        </w:tc>
        <w:tc>
          <w:tcPr>
            <w:tcW w:w="2977" w:type="dxa"/>
            <w:shd w:val="clear" w:color="auto" w:fill="auto"/>
          </w:tcPr>
          <w:p>
            <w:pPr>
              <w:spacing w:after="0" w:line="240" w:lineRule="auto"/>
              <w:rPr>
                <w:rFonts w:ascii="Palatino Linotype" w:hAnsi="Palatino Linotype"/>
              </w:rPr>
            </w:pPr>
            <w:r>
              <w:rPr>
                <w:rFonts w:ascii="Palatino Linotype" w:hAnsi="Palatino Linotype"/>
              </w:rPr>
              <w:t>Curriculum</w:t>
            </w:r>
          </w:p>
        </w:tc>
        <w:tc>
          <w:tcPr>
            <w:tcW w:w="5953" w:type="dxa"/>
            <w:shd w:val="clear" w:color="auto" w:fill="auto"/>
          </w:tcPr>
          <w:p>
            <w:pPr>
              <w:pStyle w:val="ListParagraph"/>
              <w:numPr>
                <w:ilvl w:val="0"/>
                <w:numId w:val="28"/>
              </w:numPr>
              <w:spacing w:after="0" w:line="240" w:lineRule="auto"/>
              <w:jc w:val="both"/>
              <w:rPr>
                <w:rFonts w:ascii="Palatino Linotype" w:hAnsi="Palatino Linotype"/>
              </w:rPr>
            </w:pPr>
            <w:r>
              <w:rPr>
                <w:rFonts w:ascii="Palatino Linotype" w:hAnsi="Palatino Linotype"/>
              </w:rPr>
              <w:t>Good understanding of the learning experience provided by the Academy. (essential)</w:t>
            </w:r>
          </w:p>
        </w:tc>
      </w:tr>
      <w:tr>
        <w:tc>
          <w:tcPr>
            <w:tcW w:w="2127" w:type="dxa"/>
            <w:vMerge/>
            <w:shd w:val="clear" w:color="auto" w:fill="auto"/>
          </w:tcPr>
          <w:p>
            <w:pPr>
              <w:spacing w:after="0" w:line="240" w:lineRule="auto"/>
              <w:rPr>
                <w:rFonts w:ascii="Palatino Linotype" w:hAnsi="Palatino Linotype"/>
                <w:b/>
              </w:rPr>
            </w:pPr>
          </w:p>
        </w:tc>
        <w:tc>
          <w:tcPr>
            <w:tcW w:w="2977" w:type="dxa"/>
            <w:shd w:val="clear" w:color="auto" w:fill="auto"/>
          </w:tcPr>
          <w:p>
            <w:pPr>
              <w:spacing w:after="0" w:line="240" w:lineRule="auto"/>
              <w:rPr>
                <w:rFonts w:ascii="Palatino Linotype" w:hAnsi="Palatino Linotype"/>
              </w:rPr>
            </w:pPr>
            <w:r>
              <w:rPr>
                <w:rFonts w:ascii="Palatino Linotype" w:hAnsi="Palatino Linotype"/>
              </w:rPr>
              <w:t>Child Development</w:t>
            </w:r>
          </w:p>
        </w:tc>
        <w:tc>
          <w:tcPr>
            <w:tcW w:w="5953" w:type="dxa"/>
            <w:shd w:val="clear" w:color="auto" w:fill="auto"/>
          </w:tcPr>
          <w:p>
            <w:pPr>
              <w:pStyle w:val="ListParagraph"/>
              <w:numPr>
                <w:ilvl w:val="0"/>
                <w:numId w:val="28"/>
              </w:numPr>
              <w:spacing w:after="0" w:line="240" w:lineRule="auto"/>
              <w:jc w:val="both"/>
              <w:rPr>
                <w:rFonts w:ascii="Palatino Linotype" w:hAnsi="Palatino Linotype"/>
              </w:rPr>
            </w:pPr>
            <w:r>
              <w:rPr>
                <w:rFonts w:ascii="Palatino Linotype" w:hAnsi="Palatino Linotype"/>
              </w:rPr>
              <w:t>Good understanding of the way in which children develop and the positive impact that staff can have on supporting students with their academics.  (Essential)</w:t>
            </w:r>
          </w:p>
        </w:tc>
      </w:tr>
      <w:tr>
        <w:tc>
          <w:tcPr>
            <w:tcW w:w="2127" w:type="dxa"/>
            <w:vMerge w:val="restart"/>
            <w:shd w:val="clear" w:color="auto" w:fill="auto"/>
          </w:tcPr>
          <w:p>
            <w:pPr>
              <w:spacing w:after="0" w:line="240" w:lineRule="auto"/>
              <w:rPr>
                <w:rFonts w:ascii="Palatino Linotype" w:hAnsi="Palatino Linotype"/>
                <w:b/>
              </w:rPr>
            </w:pPr>
            <w:r>
              <w:rPr>
                <w:rFonts w:ascii="Palatino Linotype" w:hAnsi="Palatino Linotype"/>
                <w:b/>
              </w:rPr>
              <w:t>Working with others</w:t>
            </w:r>
          </w:p>
        </w:tc>
        <w:tc>
          <w:tcPr>
            <w:tcW w:w="2977" w:type="dxa"/>
            <w:shd w:val="clear" w:color="auto" w:fill="auto"/>
          </w:tcPr>
          <w:p>
            <w:pPr>
              <w:spacing w:after="0" w:line="240" w:lineRule="auto"/>
              <w:rPr>
                <w:rFonts w:ascii="Palatino Linotype" w:hAnsi="Palatino Linotype"/>
              </w:rPr>
            </w:pPr>
            <w:r>
              <w:rPr>
                <w:rFonts w:ascii="Palatino Linotype" w:hAnsi="Palatino Linotype"/>
              </w:rPr>
              <w:t>Working with partners</w:t>
            </w:r>
          </w:p>
        </w:tc>
        <w:tc>
          <w:tcPr>
            <w:tcW w:w="5953" w:type="dxa"/>
            <w:shd w:val="clear" w:color="auto" w:fill="auto"/>
          </w:tcPr>
          <w:p>
            <w:pPr>
              <w:pStyle w:val="ListParagraph"/>
              <w:numPr>
                <w:ilvl w:val="0"/>
                <w:numId w:val="28"/>
              </w:numPr>
              <w:spacing w:after="0" w:line="240" w:lineRule="auto"/>
              <w:jc w:val="both"/>
              <w:rPr>
                <w:rFonts w:ascii="Palatino Linotype" w:hAnsi="Palatino Linotype"/>
              </w:rPr>
            </w:pPr>
            <w:r>
              <w:rPr>
                <w:rFonts w:ascii="Palatino Linotype" w:hAnsi="Palatino Linotype"/>
              </w:rPr>
              <w:t>Understand the main roles and responsibilities of colleagues.  (Essential)</w:t>
            </w:r>
          </w:p>
        </w:tc>
      </w:tr>
      <w:tr>
        <w:tc>
          <w:tcPr>
            <w:tcW w:w="2127" w:type="dxa"/>
            <w:vMerge/>
            <w:shd w:val="clear" w:color="auto" w:fill="auto"/>
          </w:tcPr>
          <w:p>
            <w:pPr>
              <w:spacing w:after="0" w:line="240" w:lineRule="auto"/>
              <w:rPr>
                <w:rFonts w:ascii="Palatino Linotype" w:hAnsi="Palatino Linotype"/>
                <w:b/>
              </w:rPr>
            </w:pPr>
          </w:p>
        </w:tc>
        <w:tc>
          <w:tcPr>
            <w:tcW w:w="2977" w:type="dxa"/>
            <w:shd w:val="clear" w:color="auto" w:fill="auto"/>
          </w:tcPr>
          <w:p>
            <w:pPr>
              <w:spacing w:after="0" w:line="240" w:lineRule="auto"/>
              <w:rPr>
                <w:rFonts w:ascii="Palatino Linotype" w:hAnsi="Palatino Linotype"/>
              </w:rPr>
            </w:pPr>
            <w:r>
              <w:rPr>
                <w:rFonts w:ascii="Palatino Linotype" w:hAnsi="Palatino Linotype"/>
              </w:rPr>
              <w:t>Relationships</w:t>
            </w:r>
          </w:p>
        </w:tc>
        <w:tc>
          <w:tcPr>
            <w:tcW w:w="5953" w:type="dxa"/>
            <w:shd w:val="clear" w:color="auto" w:fill="auto"/>
          </w:tcPr>
          <w:p>
            <w:pPr>
              <w:pStyle w:val="ListParagraph"/>
              <w:numPr>
                <w:ilvl w:val="0"/>
                <w:numId w:val="28"/>
              </w:numPr>
              <w:spacing w:after="0" w:line="240" w:lineRule="auto"/>
              <w:jc w:val="both"/>
              <w:rPr>
                <w:rFonts w:ascii="Palatino Linotype" w:hAnsi="Palatino Linotype"/>
              </w:rPr>
            </w:pPr>
            <w:r>
              <w:rPr>
                <w:rFonts w:ascii="Palatino Linotype" w:hAnsi="Palatino Linotype"/>
              </w:rPr>
              <w:t>Ability to establish rapport and respectful and trusting relationships with children, their families and other adults.  (Essential)</w:t>
            </w:r>
          </w:p>
          <w:p>
            <w:pPr>
              <w:pStyle w:val="ListParagraph"/>
              <w:numPr>
                <w:ilvl w:val="0"/>
                <w:numId w:val="28"/>
              </w:numPr>
              <w:spacing w:after="0" w:line="240" w:lineRule="auto"/>
              <w:jc w:val="both"/>
              <w:rPr>
                <w:rFonts w:ascii="Palatino Linotype" w:hAnsi="Palatino Linotype"/>
              </w:rPr>
            </w:pPr>
            <w:r>
              <w:rPr>
                <w:rFonts w:ascii="Palatino Linotype" w:hAnsi="Palatino Linotype"/>
              </w:rPr>
              <w:t>Ability to form productive and positive working relationships.  (Essential)</w:t>
            </w:r>
          </w:p>
        </w:tc>
      </w:tr>
      <w:tr>
        <w:tc>
          <w:tcPr>
            <w:tcW w:w="2127" w:type="dxa"/>
            <w:vMerge/>
            <w:shd w:val="clear" w:color="auto" w:fill="auto"/>
          </w:tcPr>
          <w:p>
            <w:pPr>
              <w:spacing w:after="0" w:line="240" w:lineRule="auto"/>
              <w:rPr>
                <w:rFonts w:ascii="Palatino Linotype" w:hAnsi="Palatino Linotype"/>
                <w:b/>
              </w:rPr>
            </w:pPr>
          </w:p>
        </w:tc>
        <w:tc>
          <w:tcPr>
            <w:tcW w:w="2977" w:type="dxa"/>
            <w:shd w:val="clear" w:color="auto" w:fill="auto"/>
          </w:tcPr>
          <w:p>
            <w:pPr>
              <w:spacing w:after="0" w:line="240" w:lineRule="auto"/>
              <w:rPr>
                <w:rFonts w:ascii="Palatino Linotype" w:hAnsi="Palatino Linotype"/>
              </w:rPr>
            </w:pPr>
            <w:r>
              <w:rPr>
                <w:rFonts w:ascii="Palatino Linotype" w:hAnsi="Palatino Linotype"/>
              </w:rPr>
              <w:t>Team work</w:t>
            </w:r>
          </w:p>
        </w:tc>
        <w:tc>
          <w:tcPr>
            <w:tcW w:w="5953" w:type="dxa"/>
            <w:shd w:val="clear" w:color="auto" w:fill="auto"/>
          </w:tcPr>
          <w:p>
            <w:pPr>
              <w:pStyle w:val="ListParagraph"/>
              <w:numPr>
                <w:ilvl w:val="0"/>
                <w:numId w:val="28"/>
              </w:numPr>
              <w:spacing w:after="0" w:line="240" w:lineRule="auto"/>
              <w:jc w:val="both"/>
              <w:rPr>
                <w:rFonts w:ascii="Palatino Linotype" w:hAnsi="Palatino Linotype"/>
              </w:rPr>
            </w:pPr>
            <w:r>
              <w:rPr>
                <w:rFonts w:ascii="Palatino Linotype" w:hAnsi="Palatino Linotype"/>
              </w:rPr>
              <w:t>Ability to work effectively with other adults in the school.  (Essential)</w:t>
            </w:r>
          </w:p>
          <w:p>
            <w:pPr>
              <w:pStyle w:val="ListParagraph"/>
              <w:numPr>
                <w:ilvl w:val="0"/>
                <w:numId w:val="28"/>
              </w:numPr>
              <w:spacing w:after="0" w:line="240" w:lineRule="auto"/>
              <w:jc w:val="both"/>
              <w:rPr>
                <w:rFonts w:ascii="Palatino Linotype" w:hAnsi="Palatino Linotype"/>
              </w:rPr>
            </w:pPr>
            <w:r>
              <w:rPr>
                <w:rFonts w:ascii="Palatino Linotype" w:hAnsi="Palatino Linotype"/>
              </w:rPr>
              <w:t>Ability to work on own initiative.  (Essential)</w:t>
            </w:r>
          </w:p>
        </w:tc>
      </w:tr>
      <w:tr>
        <w:tc>
          <w:tcPr>
            <w:tcW w:w="2127" w:type="dxa"/>
            <w:vMerge/>
            <w:shd w:val="clear" w:color="auto" w:fill="auto"/>
          </w:tcPr>
          <w:p>
            <w:pPr>
              <w:spacing w:after="0" w:line="240" w:lineRule="auto"/>
              <w:rPr>
                <w:rFonts w:ascii="Palatino Linotype" w:hAnsi="Palatino Linotype"/>
                <w:b/>
              </w:rPr>
            </w:pPr>
          </w:p>
        </w:tc>
        <w:tc>
          <w:tcPr>
            <w:tcW w:w="2977" w:type="dxa"/>
            <w:shd w:val="clear" w:color="auto" w:fill="auto"/>
          </w:tcPr>
          <w:p>
            <w:pPr>
              <w:spacing w:after="0" w:line="240" w:lineRule="auto"/>
              <w:rPr>
                <w:rFonts w:ascii="Palatino Linotype" w:hAnsi="Palatino Linotype"/>
              </w:rPr>
            </w:pPr>
            <w:r>
              <w:rPr>
                <w:rFonts w:ascii="Palatino Linotype" w:hAnsi="Palatino Linotype"/>
              </w:rPr>
              <w:t>Information</w:t>
            </w:r>
          </w:p>
        </w:tc>
        <w:tc>
          <w:tcPr>
            <w:tcW w:w="5953" w:type="dxa"/>
            <w:shd w:val="clear" w:color="auto" w:fill="auto"/>
          </w:tcPr>
          <w:p>
            <w:pPr>
              <w:pStyle w:val="ListParagraph"/>
              <w:numPr>
                <w:ilvl w:val="0"/>
                <w:numId w:val="28"/>
              </w:numPr>
              <w:spacing w:after="0" w:line="240" w:lineRule="auto"/>
              <w:jc w:val="both"/>
              <w:rPr>
                <w:rFonts w:ascii="Palatino Linotype" w:hAnsi="Palatino Linotype"/>
              </w:rPr>
            </w:pPr>
            <w:r>
              <w:rPr>
                <w:rFonts w:ascii="Palatino Linotype" w:hAnsi="Palatino Linotype"/>
              </w:rPr>
              <w:t>Ability to provide timely and accurate information. (Essential)</w:t>
            </w:r>
          </w:p>
          <w:p>
            <w:pPr>
              <w:pStyle w:val="ListParagraph"/>
              <w:numPr>
                <w:ilvl w:val="0"/>
                <w:numId w:val="28"/>
              </w:numPr>
              <w:spacing w:after="0" w:line="240" w:lineRule="auto"/>
              <w:jc w:val="both"/>
              <w:rPr>
                <w:rFonts w:ascii="Palatino Linotype" w:hAnsi="Palatino Linotype"/>
              </w:rPr>
            </w:pPr>
            <w:r>
              <w:rPr>
                <w:rFonts w:ascii="Palatino Linotype" w:hAnsi="Palatino Linotype"/>
              </w:rPr>
              <w:t>Ability to deal with complex situations and problem solve.  (Essential)</w:t>
            </w:r>
          </w:p>
        </w:tc>
      </w:tr>
      <w:tr>
        <w:tc>
          <w:tcPr>
            <w:tcW w:w="2127" w:type="dxa"/>
            <w:vMerge w:val="restart"/>
            <w:shd w:val="clear" w:color="auto" w:fill="auto"/>
          </w:tcPr>
          <w:p>
            <w:pPr>
              <w:spacing w:after="0" w:line="240" w:lineRule="auto"/>
              <w:rPr>
                <w:rFonts w:ascii="Palatino Linotype" w:hAnsi="Palatino Linotype"/>
                <w:b/>
              </w:rPr>
            </w:pPr>
            <w:r>
              <w:rPr>
                <w:rFonts w:ascii="Palatino Linotype" w:hAnsi="Palatino Linotype"/>
                <w:b/>
              </w:rPr>
              <w:t xml:space="preserve">Responsibilities </w:t>
            </w:r>
          </w:p>
          <w:p>
            <w:pPr>
              <w:spacing w:after="0" w:line="240" w:lineRule="auto"/>
              <w:rPr>
                <w:rFonts w:ascii="Palatino Linotype" w:hAnsi="Palatino Linotype"/>
                <w:b/>
              </w:rPr>
            </w:pPr>
          </w:p>
          <w:p>
            <w:pPr>
              <w:spacing w:after="0" w:line="240" w:lineRule="auto"/>
              <w:rPr>
                <w:rFonts w:ascii="Palatino Linotype" w:hAnsi="Palatino Linotype"/>
                <w:b/>
              </w:rPr>
            </w:pPr>
          </w:p>
        </w:tc>
        <w:tc>
          <w:tcPr>
            <w:tcW w:w="2977" w:type="dxa"/>
            <w:shd w:val="clear" w:color="auto" w:fill="auto"/>
          </w:tcPr>
          <w:p>
            <w:pPr>
              <w:spacing w:after="0" w:line="240" w:lineRule="auto"/>
              <w:rPr>
                <w:rFonts w:ascii="Palatino Linotype" w:hAnsi="Palatino Linotype"/>
              </w:rPr>
            </w:pPr>
            <w:r>
              <w:rPr>
                <w:rFonts w:ascii="Palatino Linotype" w:hAnsi="Palatino Linotype"/>
              </w:rPr>
              <w:t>Organisational skills</w:t>
            </w:r>
          </w:p>
        </w:tc>
        <w:tc>
          <w:tcPr>
            <w:tcW w:w="5953" w:type="dxa"/>
            <w:shd w:val="clear" w:color="auto" w:fill="auto"/>
          </w:tcPr>
          <w:p>
            <w:pPr>
              <w:pStyle w:val="ListParagraph"/>
              <w:numPr>
                <w:ilvl w:val="0"/>
                <w:numId w:val="28"/>
              </w:numPr>
              <w:spacing w:after="0" w:line="240" w:lineRule="auto"/>
              <w:jc w:val="both"/>
              <w:rPr>
                <w:rFonts w:ascii="Palatino Linotype" w:hAnsi="Palatino Linotype"/>
              </w:rPr>
            </w:pPr>
            <w:r>
              <w:rPr>
                <w:rFonts w:ascii="Palatino Linotype" w:hAnsi="Palatino Linotype"/>
              </w:rPr>
              <w:t>Good organisational skills.  (Essential)</w:t>
            </w:r>
          </w:p>
          <w:p>
            <w:pPr>
              <w:pStyle w:val="ListParagraph"/>
              <w:numPr>
                <w:ilvl w:val="0"/>
                <w:numId w:val="28"/>
              </w:numPr>
              <w:spacing w:after="0" w:line="240" w:lineRule="auto"/>
              <w:jc w:val="both"/>
              <w:rPr>
                <w:rFonts w:ascii="Palatino Linotype" w:hAnsi="Palatino Linotype"/>
              </w:rPr>
            </w:pPr>
            <w:r>
              <w:rPr>
                <w:rFonts w:ascii="Palatino Linotype" w:hAnsi="Palatino Linotype"/>
              </w:rPr>
              <w:t>Ability to work accurately with attention to detail. (Essential)</w:t>
            </w:r>
          </w:p>
        </w:tc>
      </w:tr>
      <w:tr>
        <w:tc>
          <w:tcPr>
            <w:tcW w:w="2127" w:type="dxa"/>
            <w:vMerge/>
            <w:shd w:val="clear" w:color="auto" w:fill="auto"/>
          </w:tcPr>
          <w:p>
            <w:pPr>
              <w:spacing w:after="0" w:line="240" w:lineRule="auto"/>
              <w:rPr>
                <w:rFonts w:ascii="Palatino Linotype" w:hAnsi="Palatino Linotype"/>
                <w:b/>
              </w:rPr>
            </w:pPr>
          </w:p>
        </w:tc>
        <w:tc>
          <w:tcPr>
            <w:tcW w:w="2977" w:type="dxa"/>
            <w:shd w:val="clear" w:color="auto" w:fill="auto"/>
          </w:tcPr>
          <w:p>
            <w:pPr>
              <w:spacing w:after="0" w:line="240" w:lineRule="auto"/>
              <w:rPr>
                <w:rFonts w:ascii="Palatino Linotype" w:hAnsi="Palatino Linotype" w:cs="Arial"/>
              </w:rPr>
            </w:pPr>
            <w:r>
              <w:rPr>
                <w:rFonts w:ascii="Palatino Linotype" w:hAnsi="Palatino Linotype" w:cs="Arial"/>
              </w:rPr>
              <w:t>Time Management</w:t>
            </w:r>
          </w:p>
        </w:tc>
        <w:tc>
          <w:tcPr>
            <w:tcW w:w="5953" w:type="dxa"/>
            <w:shd w:val="clear" w:color="auto" w:fill="auto"/>
          </w:tcPr>
          <w:p>
            <w:pPr>
              <w:pStyle w:val="ListParagraph"/>
              <w:numPr>
                <w:ilvl w:val="0"/>
                <w:numId w:val="28"/>
              </w:numPr>
              <w:spacing w:after="0" w:line="240" w:lineRule="auto"/>
              <w:jc w:val="both"/>
              <w:rPr>
                <w:rFonts w:ascii="Palatino Linotype" w:hAnsi="Palatino Linotype" w:cs="Arial"/>
              </w:rPr>
            </w:pPr>
            <w:r>
              <w:rPr>
                <w:rFonts w:ascii="Palatino Linotype" w:hAnsi="Palatino Linotype" w:cs="Arial"/>
              </w:rPr>
              <w:t>Ability to manage own time effectively and prioritise workload effectively.  (Essential)</w:t>
            </w:r>
          </w:p>
        </w:tc>
      </w:tr>
      <w:tr>
        <w:tc>
          <w:tcPr>
            <w:tcW w:w="2127" w:type="dxa"/>
            <w:shd w:val="clear" w:color="auto" w:fill="auto"/>
          </w:tcPr>
          <w:p>
            <w:pPr>
              <w:spacing w:after="0" w:line="240" w:lineRule="auto"/>
              <w:rPr>
                <w:rFonts w:ascii="Palatino Linotype" w:hAnsi="Palatino Linotype"/>
                <w:b/>
              </w:rPr>
            </w:pPr>
            <w:r>
              <w:rPr>
                <w:rFonts w:ascii="Palatino Linotype" w:hAnsi="Palatino Linotype"/>
                <w:b/>
              </w:rPr>
              <w:t>General</w:t>
            </w:r>
          </w:p>
        </w:tc>
        <w:tc>
          <w:tcPr>
            <w:tcW w:w="2977" w:type="dxa"/>
            <w:shd w:val="clear" w:color="auto" w:fill="auto"/>
          </w:tcPr>
          <w:p>
            <w:pPr>
              <w:spacing w:after="0" w:line="240" w:lineRule="auto"/>
              <w:rPr>
                <w:rFonts w:ascii="Palatino Linotype" w:hAnsi="Palatino Linotype" w:cs="Arial"/>
              </w:rPr>
            </w:pPr>
            <w:r>
              <w:rPr>
                <w:rFonts w:ascii="Palatino Linotype" w:hAnsi="Palatino Linotype" w:cs="Arial"/>
              </w:rPr>
              <w:t>Equalities</w:t>
            </w:r>
          </w:p>
        </w:tc>
        <w:tc>
          <w:tcPr>
            <w:tcW w:w="5953" w:type="dxa"/>
            <w:shd w:val="clear" w:color="auto" w:fill="auto"/>
          </w:tcPr>
          <w:p>
            <w:pPr>
              <w:pStyle w:val="ListParagraph"/>
              <w:numPr>
                <w:ilvl w:val="0"/>
                <w:numId w:val="28"/>
              </w:numPr>
              <w:spacing w:after="0" w:line="240" w:lineRule="auto"/>
              <w:jc w:val="both"/>
              <w:rPr>
                <w:rFonts w:ascii="Palatino Linotype" w:hAnsi="Palatino Linotype" w:cs="Arial"/>
              </w:rPr>
            </w:pPr>
            <w:r>
              <w:rPr>
                <w:rFonts w:ascii="Palatino Linotype" w:hAnsi="Palatino Linotype" w:cs="Arial"/>
              </w:rPr>
              <w:t>Demonstrate a commitment to equality. (Essential)</w:t>
            </w:r>
          </w:p>
        </w:tc>
      </w:tr>
      <w:tr>
        <w:tc>
          <w:tcPr>
            <w:tcW w:w="2127" w:type="dxa"/>
            <w:shd w:val="clear" w:color="auto" w:fill="auto"/>
          </w:tcPr>
          <w:p>
            <w:pPr>
              <w:spacing w:after="0" w:line="240" w:lineRule="auto"/>
              <w:rPr>
                <w:rFonts w:ascii="Palatino Linotype" w:hAnsi="Palatino Linotype"/>
                <w:b/>
              </w:rPr>
            </w:pPr>
          </w:p>
        </w:tc>
        <w:tc>
          <w:tcPr>
            <w:tcW w:w="2977" w:type="dxa"/>
            <w:shd w:val="clear" w:color="auto" w:fill="auto"/>
          </w:tcPr>
          <w:p>
            <w:pPr>
              <w:spacing w:after="0" w:line="240" w:lineRule="auto"/>
              <w:rPr>
                <w:rFonts w:ascii="Palatino Linotype" w:hAnsi="Palatino Linotype" w:cs="Arial"/>
              </w:rPr>
            </w:pPr>
            <w:r>
              <w:rPr>
                <w:rFonts w:ascii="Palatino Linotype" w:hAnsi="Palatino Linotype" w:cs="Arial"/>
              </w:rPr>
              <w:t>Health &amp; Safety</w:t>
            </w:r>
          </w:p>
        </w:tc>
        <w:tc>
          <w:tcPr>
            <w:tcW w:w="5953" w:type="dxa"/>
            <w:shd w:val="clear" w:color="auto" w:fill="auto"/>
          </w:tcPr>
          <w:p>
            <w:pPr>
              <w:pStyle w:val="ListParagraph"/>
              <w:numPr>
                <w:ilvl w:val="0"/>
                <w:numId w:val="28"/>
              </w:numPr>
              <w:spacing w:after="0" w:line="240" w:lineRule="auto"/>
              <w:jc w:val="both"/>
              <w:rPr>
                <w:rFonts w:ascii="Palatino Linotype" w:hAnsi="Palatino Linotype" w:cs="Arial"/>
              </w:rPr>
            </w:pPr>
            <w:r>
              <w:rPr>
                <w:rFonts w:ascii="Palatino Linotype" w:hAnsi="Palatino Linotype" w:cs="Arial"/>
              </w:rPr>
              <w:t>Good understanding of Health &amp; Safety. (Essential)</w:t>
            </w:r>
          </w:p>
        </w:tc>
      </w:tr>
      <w:tr>
        <w:tc>
          <w:tcPr>
            <w:tcW w:w="2127" w:type="dxa"/>
            <w:shd w:val="clear" w:color="auto" w:fill="auto"/>
          </w:tcPr>
          <w:p>
            <w:pPr>
              <w:spacing w:after="0" w:line="240" w:lineRule="auto"/>
              <w:rPr>
                <w:rFonts w:ascii="Palatino Linotype" w:hAnsi="Palatino Linotype"/>
                <w:b/>
              </w:rPr>
            </w:pPr>
          </w:p>
        </w:tc>
        <w:tc>
          <w:tcPr>
            <w:tcW w:w="2977" w:type="dxa"/>
            <w:shd w:val="clear" w:color="auto" w:fill="auto"/>
          </w:tcPr>
          <w:p>
            <w:pPr>
              <w:spacing w:after="0" w:line="240" w:lineRule="auto"/>
              <w:rPr>
                <w:rFonts w:ascii="Palatino Linotype" w:hAnsi="Palatino Linotype" w:cs="Arial"/>
              </w:rPr>
            </w:pPr>
            <w:r>
              <w:rPr>
                <w:rFonts w:ascii="Palatino Linotype" w:hAnsi="Palatino Linotype" w:cs="Arial"/>
              </w:rPr>
              <w:t>Child Protection</w:t>
            </w:r>
          </w:p>
        </w:tc>
        <w:tc>
          <w:tcPr>
            <w:tcW w:w="5953" w:type="dxa"/>
            <w:shd w:val="clear" w:color="auto" w:fill="auto"/>
          </w:tcPr>
          <w:p>
            <w:pPr>
              <w:pStyle w:val="ListParagraph"/>
              <w:numPr>
                <w:ilvl w:val="0"/>
                <w:numId w:val="28"/>
              </w:numPr>
              <w:spacing w:after="0" w:line="240" w:lineRule="auto"/>
              <w:jc w:val="both"/>
              <w:rPr>
                <w:rFonts w:ascii="Palatino Linotype" w:hAnsi="Palatino Linotype" w:cs="Arial"/>
              </w:rPr>
            </w:pPr>
            <w:r>
              <w:rPr>
                <w:rFonts w:ascii="Palatino Linotype" w:hAnsi="Palatino Linotype" w:cs="Arial"/>
              </w:rPr>
              <w:t>Understand and implement child protection procedures.  (Essential)</w:t>
            </w:r>
          </w:p>
        </w:tc>
      </w:tr>
      <w:tr>
        <w:tc>
          <w:tcPr>
            <w:tcW w:w="2127" w:type="dxa"/>
            <w:shd w:val="clear" w:color="auto" w:fill="auto"/>
          </w:tcPr>
          <w:p>
            <w:pPr>
              <w:spacing w:after="0" w:line="240" w:lineRule="auto"/>
              <w:rPr>
                <w:rFonts w:ascii="Palatino Linotype" w:hAnsi="Palatino Linotype"/>
                <w:b/>
              </w:rPr>
            </w:pPr>
          </w:p>
        </w:tc>
        <w:tc>
          <w:tcPr>
            <w:tcW w:w="2977" w:type="dxa"/>
            <w:shd w:val="clear" w:color="auto" w:fill="auto"/>
          </w:tcPr>
          <w:p>
            <w:pPr>
              <w:spacing w:after="0" w:line="240" w:lineRule="auto"/>
              <w:rPr>
                <w:rFonts w:ascii="Palatino Linotype" w:hAnsi="Palatino Linotype" w:cs="Arial"/>
              </w:rPr>
            </w:pPr>
            <w:r>
              <w:rPr>
                <w:rFonts w:ascii="Palatino Linotype" w:hAnsi="Palatino Linotype" w:cs="Arial"/>
              </w:rPr>
              <w:t>Confidentiality/Data Protection</w:t>
            </w:r>
          </w:p>
        </w:tc>
        <w:tc>
          <w:tcPr>
            <w:tcW w:w="5953" w:type="dxa"/>
            <w:shd w:val="clear" w:color="auto" w:fill="auto"/>
          </w:tcPr>
          <w:p>
            <w:pPr>
              <w:pStyle w:val="ListParagraph"/>
              <w:numPr>
                <w:ilvl w:val="0"/>
                <w:numId w:val="28"/>
              </w:numPr>
              <w:spacing w:after="0" w:line="240" w:lineRule="auto"/>
              <w:jc w:val="both"/>
              <w:rPr>
                <w:rFonts w:ascii="Palatino Linotype" w:hAnsi="Palatino Linotype" w:cs="Arial"/>
              </w:rPr>
            </w:pPr>
            <w:r>
              <w:rPr>
                <w:rFonts w:ascii="Palatino Linotype" w:hAnsi="Palatino Linotype" w:cs="Arial"/>
              </w:rPr>
              <w:t>Understand procedures and legislation relating to confidentiality.  (Essential)</w:t>
            </w:r>
          </w:p>
        </w:tc>
      </w:tr>
      <w:tr>
        <w:tc>
          <w:tcPr>
            <w:tcW w:w="2127" w:type="dxa"/>
            <w:shd w:val="clear" w:color="auto" w:fill="auto"/>
          </w:tcPr>
          <w:p>
            <w:pPr>
              <w:spacing w:after="0" w:line="240" w:lineRule="auto"/>
              <w:rPr>
                <w:rFonts w:ascii="Palatino Linotype" w:hAnsi="Palatino Linotype"/>
                <w:b/>
              </w:rPr>
            </w:pPr>
          </w:p>
        </w:tc>
        <w:tc>
          <w:tcPr>
            <w:tcW w:w="2977" w:type="dxa"/>
            <w:shd w:val="clear" w:color="auto" w:fill="auto"/>
          </w:tcPr>
          <w:p>
            <w:pPr>
              <w:spacing w:after="0" w:line="240" w:lineRule="auto"/>
              <w:rPr>
                <w:rFonts w:ascii="Palatino Linotype" w:hAnsi="Palatino Linotype" w:cs="Arial"/>
              </w:rPr>
            </w:pPr>
            <w:r>
              <w:rPr>
                <w:rFonts w:ascii="Palatino Linotype" w:hAnsi="Palatino Linotype" w:cs="Arial"/>
              </w:rPr>
              <w:t>CPD</w:t>
            </w:r>
          </w:p>
        </w:tc>
        <w:tc>
          <w:tcPr>
            <w:tcW w:w="5953" w:type="dxa"/>
            <w:shd w:val="clear" w:color="auto" w:fill="auto"/>
          </w:tcPr>
          <w:p>
            <w:pPr>
              <w:pStyle w:val="ListParagraph"/>
              <w:numPr>
                <w:ilvl w:val="0"/>
                <w:numId w:val="28"/>
              </w:numPr>
              <w:spacing w:after="0" w:line="240" w:lineRule="auto"/>
              <w:jc w:val="both"/>
              <w:rPr>
                <w:rFonts w:ascii="Palatino Linotype" w:hAnsi="Palatino Linotype"/>
              </w:rPr>
            </w:pPr>
            <w:r>
              <w:rPr>
                <w:rFonts w:ascii="Palatino Linotype" w:hAnsi="Palatino Linotype"/>
              </w:rPr>
              <w:t>Demonstrate a clear commitment to develop and learn.  (Essential)</w:t>
            </w:r>
          </w:p>
          <w:p>
            <w:pPr>
              <w:pStyle w:val="ListParagraph"/>
              <w:numPr>
                <w:ilvl w:val="0"/>
                <w:numId w:val="28"/>
              </w:numPr>
              <w:spacing w:after="0" w:line="240" w:lineRule="auto"/>
              <w:jc w:val="both"/>
              <w:rPr>
                <w:rFonts w:ascii="Palatino Linotype" w:hAnsi="Palatino Linotype" w:cs="Arial"/>
              </w:rPr>
            </w:pPr>
            <w:r>
              <w:rPr>
                <w:rFonts w:ascii="Palatino Linotype" w:hAnsi="Palatino Linotype"/>
              </w:rPr>
              <w:t>Ability to effectively evaluate own performance and share knowledge with others.  (Essential)</w:t>
            </w:r>
          </w:p>
        </w:tc>
      </w:tr>
    </w:tbl>
    <w:p>
      <w:pPr>
        <w:spacing w:after="0" w:line="240" w:lineRule="auto"/>
        <w:jc w:val="both"/>
        <w:rPr>
          <w:rFonts w:ascii="Palatino Linotype" w:eastAsia="MS Mincho" w:hAnsi="Palatino Linotype" w:cs="Times New Roman"/>
          <w:b/>
          <w:color w:val="000000"/>
          <w:sz w:val="24"/>
          <w:szCs w:val="24"/>
        </w:rPr>
      </w:pPr>
    </w:p>
    <w:sectPr>
      <w:pgSz w:w="11906" w:h="16838"/>
      <w:pgMar w:top="1135" w:right="1134" w:bottom="156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r>
      <w:rPr>
        <w:noProof/>
      </w:rPr>
      <w:drawing>
        <wp:anchor distT="0" distB="0" distL="114300" distR="114300" simplePos="0" relativeHeight="251668480" behindDoc="1" locked="0" layoutInCell="1" allowOverlap="1">
          <wp:simplePos x="0" y="0"/>
          <wp:positionH relativeFrom="column">
            <wp:posOffset>-180975</wp:posOffset>
          </wp:positionH>
          <wp:positionV relativeFrom="paragraph">
            <wp:posOffset>-104775</wp:posOffset>
          </wp:positionV>
          <wp:extent cx="2981325" cy="504825"/>
          <wp:effectExtent l="0" t="0" r="9525" b="9525"/>
          <wp:wrapTight wrapText="bothSides">
            <wp:wrapPolygon edited="0">
              <wp:start x="0" y="0"/>
              <wp:lineTo x="0" y="21192"/>
              <wp:lineTo x="21531" y="21192"/>
              <wp:lineTo x="21531"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325" cy="5048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397.65pt;height:238.6pt;rotation:315;z-index:-25165209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r>
      <w:rPr>
        <w:noProof/>
      </w:rPr>
      <w:drawing>
        <wp:anchor distT="0" distB="0" distL="114300" distR="114300" simplePos="0" relativeHeight="251666432" behindDoc="1" locked="0" layoutInCell="1" allowOverlap="1">
          <wp:simplePos x="0" y="0"/>
          <wp:positionH relativeFrom="margin">
            <wp:align>right</wp:align>
          </wp:positionH>
          <wp:positionV relativeFrom="paragraph">
            <wp:posOffset>-181610</wp:posOffset>
          </wp:positionV>
          <wp:extent cx="3402965" cy="619125"/>
          <wp:effectExtent l="0" t="0" r="6985" b="9525"/>
          <wp:wrapTight wrapText="bothSides">
            <wp:wrapPolygon edited="0">
              <wp:start x="0" y="0"/>
              <wp:lineTo x="0" y="21268"/>
              <wp:lineTo x="21523" y="21268"/>
              <wp:lineTo x="21523"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02965" cy="6191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397.65pt;height:238.6pt;rotation:315;z-index:-2516541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836D7"/>
    <w:multiLevelType w:val="hybridMultilevel"/>
    <w:tmpl w:val="62748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A711C6"/>
    <w:multiLevelType w:val="hybridMultilevel"/>
    <w:tmpl w:val="0B30A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22984"/>
    <w:multiLevelType w:val="hybridMultilevel"/>
    <w:tmpl w:val="DA742724"/>
    <w:lvl w:ilvl="0" w:tplc="3F70FC12">
      <w:start w:val="2013"/>
      <w:numFmt w:val="bullet"/>
      <w:lvlText w:val="-"/>
      <w:lvlJc w:val="left"/>
      <w:pPr>
        <w:ind w:left="720" w:hanging="360"/>
      </w:pPr>
      <w:rPr>
        <w:rFonts w:ascii="Palatino Linotype" w:eastAsia="Calibri" w:hAnsi="Palatino Linotyp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7E7220"/>
    <w:multiLevelType w:val="hybridMultilevel"/>
    <w:tmpl w:val="12DABB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D465FDA"/>
    <w:multiLevelType w:val="hybridMultilevel"/>
    <w:tmpl w:val="7EA626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E977BF6"/>
    <w:multiLevelType w:val="hybridMultilevel"/>
    <w:tmpl w:val="C346E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4E271C"/>
    <w:multiLevelType w:val="hybridMultilevel"/>
    <w:tmpl w:val="136EBE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0AE0CBE"/>
    <w:multiLevelType w:val="hybridMultilevel"/>
    <w:tmpl w:val="2C226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8F64E5"/>
    <w:multiLevelType w:val="hybridMultilevel"/>
    <w:tmpl w:val="F02ED6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9" w15:restartNumberingAfterBreak="0">
    <w:nsid w:val="24783968"/>
    <w:multiLevelType w:val="hybridMultilevel"/>
    <w:tmpl w:val="24D0A178"/>
    <w:lvl w:ilvl="0" w:tplc="3C1A3028">
      <w:numFmt w:val="bullet"/>
      <w:lvlText w:val="-"/>
      <w:lvlJc w:val="left"/>
      <w:pPr>
        <w:ind w:left="360" w:hanging="360"/>
      </w:pPr>
      <w:rPr>
        <w:rFonts w:ascii="Gill Sans MT" w:eastAsiaTheme="minorHAnsi" w:hAnsi="Gill Sans MT"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D42209"/>
    <w:multiLevelType w:val="hybridMultilevel"/>
    <w:tmpl w:val="7528EB7A"/>
    <w:lvl w:ilvl="0" w:tplc="581EE518">
      <w:numFmt w:val="bullet"/>
      <w:lvlText w:val="-"/>
      <w:lvlJc w:val="left"/>
      <w:pPr>
        <w:ind w:left="360" w:hanging="360"/>
      </w:pPr>
      <w:rPr>
        <w:rFonts w:ascii="Gill Sans MT" w:eastAsiaTheme="minorHAnsi" w:hAnsi="Gill Sans MT" w:cs="Gill Sans MT"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8FD3B89"/>
    <w:multiLevelType w:val="hybridMultilevel"/>
    <w:tmpl w:val="C8ACEC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66B381B"/>
    <w:multiLevelType w:val="hybridMultilevel"/>
    <w:tmpl w:val="6B32D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4C1C5C"/>
    <w:multiLevelType w:val="hybridMultilevel"/>
    <w:tmpl w:val="7AA69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7A0719"/>
    <w:multiLevelType w:val="hybridMultilevel"/>
    <w:tmpl w:val="1914950A"/>
    <w:lvl w:ilvl="0" w:tplc="3F70FC12">
      <w:start w:val="2013"/>
      <w:numFmt w:val="bullet"/>
      <w:lvlText w:val="-"/>
      <w:lvlJc w:val="left"/>
      <w:pPr>
        <w:ind w:left="720" w:hanging="360"/>
      </w:pPr>
      <w:rPr>
        <w:rFonts w:ascii="Palatino Linotype" w:eastAsia="Calibri" w:hAnsi="Palatino Linotyp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AD52F7"/>
    <w:multiLevelType w:val="hybridMultilevel"/>
    <w:tmpl w:val="259660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2BE7A9F"/>
    <w:multiLevelType w:val="hybridMultilevel"/>
    <w:tmpl w:val="010C9C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3E364F4"/>
    <w:multiLevelType w:val="hybridMultilevel"/>
    <w:tmpl w:val="4C26DE74"/>
    <w:lvl w:ilvl="0" w:tplc="3F70FC12">
      <w:start w:val="2013"/>
      <w:numFmt w:val="bullet"/>
      <w:lvlText w:val="-"/>
      <w:lvlJc w:val="left"/>
      <w:pPr>
        <w:ind w:left="720" w:hanging="360"/>
      </w:pPr>
      <w:rPr>
        <w:rFonts w:ascii="Palatino Linotype" w:eastAsia="Calibri" w:hAnsi="Palatino Linotyp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F364D3"/>
    <w:multiLevelType w:val="hybridMultilevel"/>
    <w:tmpl w:val="A2E4896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D5B3436"/>
    <w:multiLevelType w:val="hybridMultilevel"/>
    <w:tmpl w:val="D8E093B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9539FA"/>
    <w:multiLevelType w:val="hybridMultilevel"/>
    <w:tmpl w:val="B220E898"/>
    <w:lvl w:ilvl="0" w:tplc="3F70FC12">
      <w:start w:val="2013"/>
      <w:numFmt w:val="bullet"/>
      <w:lvlText w:val="-"/>
      <w:lvlJc w:val="left"/>
      <w:pPr>
        <w:ind w:left="720" w:hanging="360"/>
      </w:pPr>
      <w:rPr>
        <w:rFonts w:ascii="Palatino Linotype" w:eastAsia="Calibri" w:hAnsi="Palatino Linotyp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D23FC9"/>
    <w:multiLevelType w:val="hybridMultilevel"/>
    <w:tmpl w:val="B25CE3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4F7203A"/>
    <w:multiLevelType w:val="hybridMultilevel"/>
    <w:tmpl w:val="F6BC1C42"/>
    <w:lvl w:ilvl="0" w:tplc="3F70FC12">
      <w:start w:val="2013"/>
      <w:numFmt w:val="bullet"/>
      <w:lvlText w:val="-"/>
      <w:lvlJc w:val="left"/>
      <w:pPr>
        <w:ind w:left="720" w:hanging="360"/>
      </w:pPr>
      <w:rPr>
        <w:rFonts w:ascii="Palatino Linotype" w:eastAsia="Calibri" w:hAnsi="Palatino Linotyp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DC573F"/>
    <w:multiLevelType w:val="hybridMultilevel"/>
    <w:tmpl w:val="91785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770AD2"/>
    <w:multiLevelType w:val="hybridMultilevel"/>
    <w:tmpl w:val="B1AA78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9B04851"/>
    <w:multiLevelType w:val="hybridMultilevel"/>
    <w:tmpl w:val="010A57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B0615A4"/>
    <w:multiLevelType w:val="hybridMultilevel"/>
    <w:tmpl w:val="D38E73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B94666B"/>
    <w:multiLevelType w:val="hybridMultilevel"/>
    <w:tmpl w:val="B4C8E8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CA25432"/>
    <w:multiLevelType w:val="hybridMultilevel"/>
    <w:tmpl w:val="9E2A2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21E4A8C"/>
    <w:multiLevelType w:val="hybridMultilevel"/>
    <w:tmpl w:val="F96C34DC"/>
    <w:lvl w:ilvl="0" w:tplc="3C1A3028">
      <w:numFmt w:val="bullet"/>
      <w:lvlText w:val="-"/>
      <w:lvlJc w:val="left"/>
      <w:pPr>
        <w:ind w:left="360" w:hanging="360"/>
      </w:pPr>
      <w:rPr>
        <w:rFonts w:ascii="Gill Sans MT" w:eastAsiaTheme="minorHAnsi" w:hAnsi="Gill Sans MT" w:cs="Gill Sans MT"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7D455D9"/>
    <w:multiLevelType w:val="hybridMultilevel"/>
    <w:tmpl w:val="CE8A32EA"/>
    <w:lvl w:ilvl="0" w:tplc="CCC2EE62">
      <w:numFmt w:val="bullet"/>
      <w:lvlText w:val="-"/>
      <w:lvlJc w:val="left"/>
      <w:pPr>
        <w:ind w:left="360" w:hanging="360"/>
      </w:pPr>
      <w:rPr>
        <w:rFonts w:ascii="Palatino Linotype" w:eastAsiaTheme="minorHAnsi" w:hAnsi="Palatino Linotype"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B956902"/>
    <w:multiLevelType w:val="hybridMultilevel"/>
    <w:tmpl w:val="66B24418"/>
    <w:lvl w:ilvl="0" w:tplc="3F70FC12">
      <w:start w:val="2013"/>
      <w:numFmt w:val="bullet"/>
      <w:lvlText w:val="-"/>
      <w:lvlJc w:val="left"/>
      <w:pPr>
        <w:ind w:left="720" w:hanging="360"/>
      </w:pPr>
      <w:rPr>
        <w:rFonts w:ascii="Palatino Linotype" w:eastAsia="Calibri" w:hAnsi="Palatino Linotyp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4C3A39"/>
    <w:multiLevelType w:val="hybridMultilevel"/>
    <w:tmpl w:val="A1B2AD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29"/>
  </w:num>
  <w:num w:numId="3">
    <w:abstractNumId w:val="27"/>
  </w:num>
  <w:num w:numId="4">
    <w:abstractNumId w:val="19"/>
  </w:num>
  <w:num w:numId="5">
    <w:abstractNumId w:val="19"/>
  </w:num>
  <w:num w:numId="6">
    <w:abstractNumId w:val="30"/>
  </w:num>
  <w:num w:numId="7">
    <w:abstractNumId w:val="0"/>
  </w:num>
  <w:num w:numId="8">
    <w:abstractNumId w:val="7"/>
  </w:num>
  <w:num w:numId="9">
    <w:abstractNumId w:val="23"/>
  </w:num>
  <w:num w:numId="10">
    <w:abstractNumId w:val="28"/>
  </w:num>
  <w:num w:numId="11">
    <w:abstractNumId w:val="24"/>
  </w:num>
  <w:num w:numId="12">
    <w:abstractNumId w:val="9"/>
  </w:num>
  <w:num w:numId="13">
    <w:abstractNumId w:val="32"/>
  </w:num>
  <w:num w:numId="14">
    <w:abstractNumId w:val="6"/>
  </w:num>
  <w:num w:numId="15">
    <w:abstractNumId w:val="26"/>
  </w:num>
  <w:num w:numId="16">
    <w:abstractNumId w:val="3"/>
  </w:num>
  <w:num w:numId="17">
    <w:abstractNumId w:val="11"/>
  </w:num>
  <w:num w:numId="18">
    <w:abstractNumId w:val="16"/>
  </w:num>
  <w:num w:numId="19">
    <w:abstractNumId w:val="18"/>
  </w:num>
  <w:num w:numId="20">
    <w:abstractNumId w:val="14"/>
  </w:num>
  <w:num w:numId="21">
    <w:abstractNumId w:val="2"/>
  </w:num>
  <w:num w:numId="22">
    <w:abstractNumId w:val="31"/>
  </w:num>
  <w:num w:numId="23">
    <w:abstractNumId w:val="20"/>
  </w:num>
  <w:num w:numId="24">
    <w:abstractNumId w:val="17"/>
  </w:num>
  <w:num w:numId="25">
    <w:abstractNumId w:val="22"/>
  </w:num>
  <w:num w:numId="26">
    <w:abstractNumId w:val="12"/>
  </w:num>
  <w:num w:numId="27">
    <w:abstractNumId w:val="4"/>
  </w:num>
  <w:num w:numId="28">
    <w:abstractNumId w:val="15"/>
  </w:num>
  <w:num w:numId="29">
    <w:abstractNumId w:val="25"/>
  </w:num>
  <w:num w:numId="30">
    <w:abstractNumId w:val="21"/>
  </w:num>
  <w:num w:numId="31">
    <w:abstractNumId w:val="1"/>
  </w:num>
  <w:num w:numId="32">
    <w:abstractNumId w:val="5"/>
  </w:num>
  <w:num w:numId="33">
    <w:abstractNumId w:val="13"/>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4"/>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27467A6F-3DE4-4FAA-B0D0-DC0A3035A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customStyle="1" w:styleId="Default">
    <w:name w:val="Default"/>
    <w:pPr>
      <w:autoSpaceDE w:val="0"/>
      <w:autoSpaceDN w:val="0"/>
      <w:adjustRightInd w:val="0"/>
      <w:spacing w:after="0" w:line="240" w:lineRule="auto"/>
    </w:pPr>
    <w:rPr>
      <w:rFonts w:ascii="Gill Sans MT" w:hAnsi="Gill Sans MT" w:cs="Gill Sans MT"/>
      <w:color w:val="000000"/>
      <w:sz w:val="24"/>
      <w:szCs w:val="24"/>
    </w:rPr>
  </w:style>
  <w:style w:type="paragraph" w:styleId="BodyTextIndent">
    <w:name w:val="Body Text Indent"/>
    <w:basedOn w:val="Normal"/>
    <w:link w:val="BodyTextIndentChar"/>
    <w:pPr>
      <w:tabs>
        <w:tab w:val="left" w:pos="4440"/>
      </w:tabs>
      <w:spacing w:after="0" w:line="240" w:lineRule="auto"/>
      <w:ind w:left="4440" w:hanging="660"/>
      <w:jc w:val="both"/>
    </w:pPr>
    <w:rPr>
      <w:rFonts w:ascii="Times New Roman" w:eastAsia="Times New Roman" w:hAnsi="Times New Roman" w:cs="Times New Roman"/>
      <w:szCs w:val="20"/>
      <w:lang w:eastAsia="en-GB"/>
    </w:rPr>
  </w:style>
  <w:style w:type="character" w:customStyle="1" w:styleId="BodyTextIndentChar">
    <w:name w:val="Body Text Indent Char"/>
    <w:basedOn w:val="DefaultParagraphFont"/>
    <w:link w:val="BodyTextIndent"/>
    <w:rPr>
      <w:rFonts w:ascii="Times New Roman" w:eastAsia="Times New Roman" w:hAnsi="Times New Roman" w:cs="Times New Roman"/>
      <w:szCs w:val="20"/>
      <w:lang w:eastAsia="en-GB"/>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511125">
      <w:bodyDiv w:val="1"/>
      <w:marLeft w:val="0"/>
      <w:marRight w:val="0"/>
      <w:marTop w:val="0"/>
      <w:marBottom w:val="0"/>
      <w:divBdr>
        <w:top w:val="none" w:sz="0" w:space="0" w:color="auto"/>
        <w:left w:val="none" w:sz="0" w:space="0" w:color="auto"/>
        <w:bottom w:val="none" w:sz="0" w:space="0" w:color="auto"/>
        <w:right w:val="none" w:sz="0" w:space="0" w:color="auto"/>
      </w:divBdr>
    </w:div>
    <w:div w:id="1958950438">
      <w:bodyDiv w:val="1"/>
      <w:marLeft w:val="0"/>
      <w:marRight w:val="0"/>
      <w:marTop w:val="0"/>
      <w:marBottom w:val="0"/>
      <w:divBdr>
        <w:top w:val="none" w:sz="0" w:space="0" w:color="auto"/>
        <w:left w:val="none" w:sz="0" w:space="0" w:color="auto"/>
        <w:bottom w:val="none" w:sz="0" w:space="0" w:color="auto"/>
        <w:right w:val="none" w:sz="0" w:space="0" w:color="auto"/>
      </w:divBdr>
    </w:div>
    <w:div w:id="200064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89ED5-8C01-4002-8920-85ABFED00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1413</Words>
  <Characters>8055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Moruzzi</dc:creator>
  <cp:keywords/>
  <dc:description/>
  <cp:lastModifiedBy>Grainne McLaughlin</cp:lastModifiedBy>
  <cp:revision>2</cp:revision>
  <dcterms:created xsi:type="dcterms:W3CDTF">2022-11-15T12:32:00Z</dcterms:created>
  <dcterms:modified xsi:type="dcterms:W3CDTF">2022-11-15T12:32:00Z</dcterms:modified>
</cp:coreProperties>
</file>