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09" w:rsidRDefault="00C62BE3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9E8809" wp14:editId="4AD59231">
            <wp:simplePos x="0" y="0"/>
            <wp:positionH relativeFrom="page">
              <wp:posOffset>1895475</wp:posOffset>
            </wp:positionH>
            <wp:positionV relativeFrom="paragraph">
              <wp:posOffset>-407035</wp:posOffset>
            </wp:positionV>
            <wp:extent cx="3962400" cy="1036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09" w:rsidRPr="00CD5E09" w:rsidRDefault="00CD5E09" w:rsidP="00CD5E09"/>
    <w:p w:rsidR="00825589" w:rsidRPr="009D59F7" w:rsidRDefault="00825589" w:rsidP="00F746A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52"/>
      </w:tblGrid>
      <w:tr w:rsidR="00F746A9" w:rsidRPr="00FE1560" w:rsidTr="0031140A">
        <w:tc>
          <w:tcPr>
            <w:tcW w:w="1413" w:type="dxa"/>
          </w:tcPr>
          <w:p w:rsidR="00F746A9" w:rsidRPr="00FE1560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Job Title</w:t>
            </w:r>
          </w:p>
        </w:tc>
        <w:tc>
          <w:tcPr>
            <w:tcW w:w="9752" w:type="dxa"/>
          </w:tcPr>
          <w:p w:rsidR="00F746A9" w:rsidRPr="00FE1560" w:rsidRDefault="00FE1560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Reception teacher and </w:t>
            </w:r>
            <w:r w:rsidR="00021DF4" w:rsidRPr="00FE1560">
              <w:rPr>
                <w:rFonts w:asciiTheme="minorHAnsi" w:hAnsiTheme="minorHAnsi" w:cstheme="minorHAnsi"/>
                <w:sz w:val="26"/>
                <w:szCs w:val="26"/>
              </w:rPr>
              <w:t>Early Years Lead</w:t>
            </w:r>
          </w:p>
        </w:tc>
      </w:tr>
      <w:tr w:rsidR="00F746A9" w:rsidRPr="00FE1560" w:rsidTr="0031140A">
        <w:tc>
          <w:tcPr>
            <w:tcW w:w="1413" w:type="dxa"/>
          </w:tcPr>
          <w:p w:rsidR="00F746A9" w:rsidRPr="00FE1560" w:rsidRDefault="00F746A9" w:rsidP="009C51D8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Grade</w:t>
            </w:r>
          </w:p>
        </w:tc>
        <w:tc>
          <w:tcPr>
            <w:tcW w:w="9752" w:type="dxa"/>
          </w:tcPr>
          <w:p w:rsidR="00F746A9" w:rsidRPr="00FE1560" w:rsidRDefault="00600480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_Hlk168305201"/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MPS/UPS + </w:t>
            </w:r>
            <w:bookmarkEnd w:id="0"/>
            <w:r w:rsidR="0010539D" w:rsidRPr="00FE1560">
              <w:rPr>
                <w:rFonts w:asciiTheme="minorHAnsi" w:hAnsiTheme="minorHAnsi" w:cstheme="minorHAnsi"/>
                <w:sz w:val="26"/>
                <w:szCs w:val="26"/>
              </w:rPr>
              <w:t>TLR</w:t>
            </w:r>
            <w:r w:rsidR="00FE1560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dependent on experience</w:t>
            </w:r>
          </w:p>
        </w:tc>
      </w:tr>
      <w:tr w:rsidR="00F746A9" w:rsidRPr="00FE1560" w:rsidTr="0031140A">
        <w:tc>
          <w:tcPr>
            <w:tcW w:w="1413" w:type="dxa"/>
          </w:tcPr>
          <w:p w:rsidR="00F746A9" w:rsidRPr="00FE1560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Reports to</w:t>
            </w:r>
          </w:p>
        </w:tc>
        <w:tc>
          <w:tcPr>
            <w:tcW w:w="9752" w:type="dxa"/>
          </w:tcPr>
          <w:p w:rsidR="00F746A9" w:rsidRPr="00FE1560" w:rsidRDefault="00F746A9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Headteacher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F746A9" w:rsidRPr="00FE1560" w:rsidTr="0031140A">
        <w:tc>
          <w:tcPr>
            <w:tcW w:w="1413" w:type="dxa"/>
          </w:tcPr>
          <w:p w:rsidR="00F746A9" w:rsidRPr="00FE1560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Key Purpose of the job</w:t>
            </w:r>
          </w:p>
        </w:tc>
        <w:tc>
          <w:tcPr>
            <w:tcW w:w="9752" w:type="dxa"/>
          </w:tcPr>
          <w:p w:rsidR="0010539D" w:rsidRPr="00FE1560" w:rsidRDefault="00FE1560" w:rsidP="0055583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be the Reception Class Teacher and</w:t>
            </w:r>
            <w:r w:rsidR="0010539D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take lead responsibility of the Nursery and Reception Classes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(2 classes) </w:t>
            </w:r>
            <w:r w:rsidR="0010539D" w:rsidRPr="00FE1560">
              <w:rPr>
                <w:rFonts w:asciiTheme="minorHAnsi" w:hAnsiTheme="minorHAnsi" w:cstheme="minorHAnsi"/>
                <w:sz w:val="26"/>
                <w:szCs w:val="26"/>
              </w:rPr>
              <w:t>to ensure high-quality teaching, effective use of resources and safe, aspirational learning environments for all pupils in the Foundation Stage.</w:t>
            </w:r>
          </w:p>
          <w:p w:rsidR="0010539D" w:rsidRPr="00FE1560" w:rsidRDefault="0010539D" w:rsidP="0055583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The Early Years lead will liaise extensively with families, EY settings, health professional s and local authority advisors to secure the highest standards of safeguarding, personal development and learning as outlined in the Early Years Foundation Stage Profile.</w:t>
            </w:r>
          </w:p>
          <w:p w:rsidR="0055583A" w:rsidRPr="00FE1560" w:rsidRDefault="0055583A" w:rsidP="0055583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The </w:t>
            </w:r>
            <w:r w:rsidR="0010539D" w:rsidRPr="00FE1560">
              <w:rPr>
                <w:rFonts w:asciiTheme="minorHAnsi" w:hAnsiTheme="minorHAnsi" w:cstheme="minorHAnsi"/>
                <w:sz w:val="26"/>
                <w:szCs w:val="26"/>
              </w:rPr>
              <w:t>Early Years Lead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will carry out the duties of this post in line with the remit outlined in the current School Teachers’ Pay and Conditions Document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Specific Responsibilities</w:t>
            </w:r>
          </w:p>
        </w:tc>
      </w:tr>
      <w:tr w:rsidR="00F746A9" w:rsidRPr="00FE1560" w:rsidTr="00F746A9">
        <w:tc>
          <w:tcPr>
            <w:tcW w:w="11165" w:type="dxa"/>
            <w:gridSpan w:val="2"/>
          </w:tcPr>
          <w:p w:rsidR="00621D27" w:rsidRPr="00FE1560" w:rsidRDefault="000E2A35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Ensure that the school carries out its statutory responsibilities regarding all 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>Foundation Stage pupils.</w:t>
            </w:r>
          </w:p>
          <w:p w:rsidR="001C0EF7" w:rsidRPr="00FE1560" w:rsidRDefault="001C0EF7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Liaise with Admin Staff and the DSL to manage pupil admissions and attendance.</w:t>
            </w:r>
          </w:p>
          <w:p w:rsidR="0055583A" w:rsidRPr="00FE1560" w:rsidRDefault="008B387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L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ead 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>EY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staff on developing effective assessment of 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achievement and 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needs, teaching strategies and 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behaviour management through 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>formal target setting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0D6A7C" w:rsidRPr="00FE1560" w:rsidRDefault="00EF2976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Oversee </w:t>
            </w:r>
            <w:r w:rsidR="00FF6AE2" w:rsidRPr="00FE1560">
              <w:rPr>
                <w:rFonts w:asciiTheme="minorHAnsi" w:hAnsiTheme="minorHAnsi" w:cstheme="minorHAnsi"/>
                <w:sz w:val="26"/>
                <w:szCs w:val="26"/>
              </w:rPr>
              <w:t>the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>EY staff team</w:t>
            </w:r>
          </w:p>
          <w:p w:rsidR="0055583A" w:rsidRPr="00FE1560" w:rsidRDefault="008B387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Manage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>parental liaison</w:t>
            </w:r>
            <w:r w:rsidR="001C0EF7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incusing workshops and information sharing events.</w:t>
            </w:r>
          </w:p>
          <w:p w:rsidR="00F746A9" w:rsidRPr="00FE1560" w:rsidRDefault="00E62D81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Drive</w:t>
            </w:r>
            <w:r w:rsidR="00F746A9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a positive ethos for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inclusive</w:t>
            </w:r>
            <w:r w:rsidR="00F746A9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>teaching</w:t>
            </w:r>
            <w:r w:rsidR="00F746A9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F746A9" w:rsidRPr="00FE1560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Promote the values and achievements of the school to the community</w:t>
            </w:r>
            <w:r w:rsidR="00AA3FA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through the website and social media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106E7B" w:rsidRPr="00FE1560" w:rsidRDefault="00106E7B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build and strengthen parental engagement and be approachable to families.</w:t>
            </w:r>
          </w:p>
          <w:p w:rsidR="0055583A" w:rsidRPr="00FE1560" w:rsidRDefault="0055583A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lead and attend meetings with staff, families and external agencies to ensure the highest standards of safeguarding, achievement and communication.</w:t>
            </w:r>
          </w:p>
          <w:p w:rsidR="00F746A9" w:rsidRPr="00FE1560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Undertake such reasonable activities that the Headteacher and Governors may from time to time require.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Strategic Direction and Development of the school</w:t>
            </w:r>
          </w:p>
        </w:tc>
      </w:tr>
      <w:tr w:rsidR="00344692" w:rsidRPr="00FE1560" w:rsidTr="00667684">
        <w:tc>
          <w:tcPr>
            <w:tcW w:w="11165" w:type="dxa"/>
            <w:gridSpan w:val="2"/>
          </w:tcPr>
          <w:p w:rsidR="00344692" w:rsidRPr="00FE1560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assist the Headteacher in achieving the vision and direction of the school.</w:t>
            </w:r>
          </w:p>
          <w:p w:rsidR="00344692" w:rsidRPr="00FE1560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set and maintain high expectations of pupils’ behaviour and achievement.</w:t>
            </w:r>
          </w:p>
          <w:p w:rsidR="00344692" w:rsidRPr="00FE1560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With the Headteacher, Governors and senior staff, to set aims and objectives for 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the school’s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EY</w:t>
            </w:r>
            <w:r w:rsidR="00FF6AE2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provision in the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School Development Plan. </w:t>
            </w:r>
          </w:p>
          <w:p w:rsidR="00344692" w:rsidRPr="00FE1560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take responsibility for developing and monitoring policy and practice as directed by the Headteacher and Governing Body.</w:t>
            </w:r>
          </w:p>
          <w:p w:rsidR="000D6A7C" w:rsidRPr="00FE1560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assist the Headteacher in 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the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school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’s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EY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self-review and evaluation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8B387A" w:rsidRPr="00FE1560" w:rsidRDefault="000D6A7C" w:rsidP="008B387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To oversee</w:t>
            </w:r>
            <w:r w:rsidR="00344692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the effective planning and management of resources to secure improvement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for 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pupils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Nursery and Reception.</w:t>
            </w:r>
          </w:p>
          <w:p w:rsidR="00344692" w:rsidRPr="00FE1560" w:rsidRDefault="00344692" w:rsidP="008B387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support and implement all decisions of the Headteacher and Governing Body.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Teaching and Learning</w:t>
            </w:r>
          </w:p>
        </w:tc>
      </w:tr>
      <w:tr w:rsidR="00344692" w:rsidRPr="00FE1560" w:rsidTr="00FD3435">
        <w:tc>
          <w:tcPr>
            <w:tcW w:w="11165" w:type="dxa"/>
            <w:gridSpan w:val="2"/>
          </w:tcPr>
          <w:p w:rsidR="00344692" w:rsidRPr="00FE1560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be a credible role model and act as a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knowledgeable, approachable and empathetic advisor to staff.</w:t>
            </w:r>
          </w:p>
          <w:p w:rsidR="008B387A" w:rsidRPr="00FE1560" w:rsidRDefault="008B387A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be an outstanding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EY and KS1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teacher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344692" w:rsidRPr="00FE1560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work with the Senior Leadership Team and 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SENCO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sustain high expectations and outstanding practice in teaching and learning 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in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EY classes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while considering</w:t>
            </w:r>
            <w:r w:rsidR="0055583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the needs of all pupils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344692" w:rsidRPr="00FE1560" w:rsidRDefault="00344692" w:rsidP="000D6A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monitor and evaluate the quality of teaching and standards of pupil’s achievement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in the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Early Years classes.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Leading and Managing staff</w:t>
            </w:r>
          </w:p>
        </w:tc>
      </w:tr>
      <w:tr w:rsidR="00344692" w:rsidRPr="00FE1560" w:rsidTr="005A56A5">
        <w:tc>
          <w:tcPr>
            <w:tcW w:w="11165" w:type="dxa"/>
            <w:gridSpan w:val="2"/>
          </w:tcPr>
          <w:p w:rsidR="00344692" w:rsidRPr="00FE1560" w:rsidRDefault="00344692" w:rsidP="004444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comply with and adhere to all school policies.</w:t>
            </w:r>
          </w:p>
          <w:p w:rsidR="00FF6AE2" w:rsidRPr="00FE1560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work with the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Senior Leadership Team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to lead, motivate, support, challenge and develop all staff to secure continual improvement </w:t>
            </w:r>
            <w:r w:rsidR="00FF6AE2" w:rsidRPr="00FE1560">
              <w:rPr>
                <w:rFonts w:asciiTheme="minorHAnsi" w:hAnsiTheme="minorHAnsi" w:cstheme="minorHAnsi"/>
                <w:sz w:val="26"/>
                <w:szCs w:val="26"/>
              </w:rPr>
              <w:t>in the school’s approach to SEND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in the Early Years</w:t>
            </w:r>
            <w:r w:rsidR="00FF6AE2"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0D6A7C" w:rsidRPr="00FE1560" w:rsidRDefault="00344692" w:rsidP="008B387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organise cover and support in the Nursery and Reception Classes as needed.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Deploying staff and resources</w:t>
            </w:r>
          </w:p>
        </w:tc>
      </w:tr>
      <w:tr w:rsidR="00344692" w:rsidRPr="00FE1560" w:rsidTr="00BB4FE3">
        <w:tc>
          <w:tcPr>
            <w:tcW w:w="11165" w:type="dxa"/>
            <w:gridSpan w:val="2"/>
          </w:tcPr>
          <w:p w:rsidR="00344692" w:rsidRPr="00FE1560" w:rsidRDefault="00344692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In consultation with, and by the direction of the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SENCO or Senior Leadership Team, to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deploy staff and resources efficiently and effectively</w:t>
            </w:r>
            <w:r w:rsidR="004E470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to best meet the needs of the pupils</w:t>
            </w:r>
            <w:r w:rsidR="008B387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in the </w:t>
            </w:r>
            <w:r w:rsidR="00F85AA3" w:rsidRPr="00FE1560">
              <w:rPr>
                <w:rFonts w:asciiTheme="minorHAnsi" w:hAnsiTheme="minorHAnsi" w:cstheme="minorHAnsi"/>
                <w:sz w:val="26"/>
                <w:szCs w:val="26"/>
              </w:rPr>
              <w:t>Early Year</w:t>
            </w:r>
            <w:r w:rsidR="00A928FA" w:rsidRPr="00FE1560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0D6A7C" w:rsidRPr="00FE1560" w:rsidRDefault="000D6A7C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ensure that external professionals and specialist staff provide high quality interventions and support.</w:t>
            </w:r>
          </w:p>
          <w:p w:rsidR="00344692" w:rsidRPr="00FE1560" w:rsidRDefault="00344692" w:rsidP="008B38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apply all safeguarding polic</w:t>
            </w:r>
            <w:r w:rsidR="007B0136" w:rsidRPr="00FE1560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es and measures when deploying staff.</w:t>
            </w:r>
          </w:p>
        </w:tc>
      </w:tr>
      <w:tr w:rsidR="00F746A9" w:rsidRPr="00FE1560" w:rsidTr="009C51D8">
        <w:tc>
          <w:tcPr>
            <w:tcW w:w="11165" w:type="dxa"/>
            <w:gridSpan w:val="2"/>
          </w:tcPr>
          <w:p w:rsidR="00F746A9" w:rsidRPr="00FE1560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b/>
                <w:sz w:val="26"/>
                <w:szCs w:val="26"/>
              </w:rPr>
              <w:t>Accountability</w:t>
            </w:r>
          </w:p>
        </w:tc>
      </w:tr>
      <w:tr w:rsidR="00344692" w:rsidRPr="00FE1560" w:rsidTr="0023425C">
        <w:tc>
          <w:tcPr>
            <w:tcW w:w="11165" w:type="dxa"/>
            <w:gridSpan w:val="2"/>
          </w:tcPr>
          <w:p w:rsidR="00344692" w:rsidRPr="00FE1560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support the Headteacher in accounting for the </w:t>
            </w:r>
            <w:r w:rsidR="000D6A7C" w:rsidRPr="00FE1560">
              <w:rPr>
                <w:rFonts w:asciiTheme="minorHAnsi" w:hAnsiTheme="minorHAnsi" w:cstheme="minorHAnsi"/>
                <w:sz w:val="26"/>
                <w:szCs w:val="26"/>
              </w:rPr>
              <w:t>school’s effectiveness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E470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in ensuring the best provision </w:t>
            </w:r>
            <w:r w:rsidR="00BB414E" w:rsidRPr="00FE1560">
              <w:rPr>
                <w:rFonts w:asciiTheme="minorHAnsi" w:hAnsiTheme="minorHAnsi" w:cstheme="minorHAnsi"/>
                <w:sz w:val="26"/>
                <w:szCs w:val="26"/>
              </w:rPr>
              <w:t>for Early Years pupils</w:t>
            </w:r>
            <w:r w:rsidR="004E470C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all relevant stakeholders, including reporting to Governor</w:t>
            </w:r>
            <w:r w:rsidR="007B0136" w:rsidRPr="00FE1560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9D59F7" w:rsidRPr="00FE1560" w:rsidRDefault="009D59F7" w:rsidP="009D59F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To disseminate procedural information </w:t>
            </w:r>
            <w:r w:rsidR="00BB414E" w:rsidRPr="00FE1560">
              <w:rPr>
                <w:rFonts w:asciiTheme="minorHAnsi" w:hAnsiTheme="minorHAnsi" w:cstheme="minorHAnsi"/>
                <w:sz w:val="26"/>
                <w:szCs w:val="26"/>
              </w:rPr>
              <w:t>to support pupils achieving GLD in the ELG.</w:t>
            </w:r>
          </w:p>
          <w:p w:rsidR="00344692" w:rsidRPr="00FE1560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take responsibility, with the</w:t>
            </w:r>
            <w:r w:rsidR="0031140A"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DSL and</w:t>
            </w: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 xml:space="preserve"> Headteacher, for safeguarding the welfare of children within the school.</w:t>
            </w:r>
          </w:p>
          <w:p w:rsidR="00344692" w:rsidRPr="00FE1560" w:rsidRDefault="00344692" w:rsidP="00933C7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comply with individual responsibilities, in accordance with the role, for health and safety in the setting.</w:t>
            </w:r>
          </w:p>
          <w:p w:rsidR="00825589" w:rsidRPr="00FE1560" w:rsidRDefault="00344692" w:rsidP="004E470C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E1560">
              <w:rPr>
                <w:rFonts w:asciiTheme="minorHAnsi" w:hAnsiTheme="minorHAnsi" w:cstheme="minorHAnsi"/>
                <w:sz w:val="26"/>
                <w:szCs w:val="26"/>
              </w:rPr>
              <w:t>To ensure that all duties and services provided are in accordance with the School’s Equal Opportunities Policy.</w:t>
            </w:r>
          </w:p>
        </w:tc>
      </w:tr>
    </w:tbl>
    <w:p w:rsidR="008032B0" w:rsidRPr="00FE1560" w:rsidRDefault="008032B0">
      <w:pPr>
        <w:tabs>
          <w:tab w:val="left" w:pos="6285"/>
        </w:tabs>
        <w:rPr>
          <w:rFonts w:asciiTheme="minorHAnsi" w:hAnsiTheme="minorHAnsi" w:cstheme="minorHAnsi"/>
          <w:sz w:val="26"/>
          <w:szCs w:val="26"/>
        </w:rPr>
      </w:pPr>
      <w:bookmarkStart w:id="1" w:name="_GoBack"/>
      <w:bookmarkEnd w:id="1"/>
    </w:p>
    <w:sectPr w:rsidR="008032B0" w:rsidRPr="00FE1560" w:rsidSect="008032B0">
      <w:pgSz w:w="11906" w:h="16838"/>
      <w:pgMar w:top="851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B8F"/>
    <w:multiLevelType w:val="hybridMultilevel"/>
    <w:tmpl w:val="5562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37B"/>
    <w:multiLevelType w:val="hybridMultilevel"/>
    <w:tmpl w:val="4FAA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E62"/>
    <w:multiLevelType w:val="hybridMultilevel"/>
    <w:tmpl w:val="631E00D8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3C7"/>
    <w:multiLevelType w:val="hybridMultilevel"/>
    <w:tmpl w:val="A4D6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18BE"/>
    <w:multiLevelType w:val="hybridMultilevel"/>
    <w:tmpl w:val="E69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E0705"/>
    <w:multiLevelType w:val="hybridMultilevel"/>
    <w:tmpl w:val="CACA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C06"/>
    <w:multiLevelType w:val="hybridMultilevel"/>
    <w:tmpl w:val="E53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B5162"/>
    <w:multiLevelType w:val="hybridMultilevel"/>
    <w:tmpl w:val="756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2"/>
    <w:rsid w:val="00021DF4"/>
    <w:rsid w:val="000268D7"/>
    <w:rsid w:val="00060CD6"/>
    <w:rsid w:val="00064AC8"/>
    <w:rsid w:val="00077096"/>
    <w:rsid w:val="000A0DF7"/>
    <w:rsid w:val="000D6A7C"/>
    <w:rsid w:val="000D6B68"/>
    <w:rsid w:val="000E2A35"/>
    <w:rsid w:val="0010539D"/>
    <w:rsid w:val="00106E7B"/>
    <w:rsid w:val="00133A7D"/>
    <w:rsid w:val="00157D7A"/>
    <w:rsid w:val="0017387D"/>
    <w:rsid w:val="001C0EF7"/>
    <w:rsid w:val="001E247F"/>
    <w:rsid w:val="00214E60"/>
    <w:rsid w:val="00216F95"/>
    <w:rsid w:val="002809B8"/>
    <w:rsid w:val="0031140A"/>
    <w:rsid w:val="003231CF"/>
    <w:rsid w:val="0033346A"/>
    <w:rsid w:val="00344692"/>
    <w:rsid w:val="00361173"/>
    <w:rsid w:val="00361BF1"/>
    <w:rsid w:val="00385224"/>
    <w:rsid w:val="003C3E11"/>
    <w:rsid w:val="003D2014"/>
    <w:rsid w:val="003D33CB"/>
    <w:rsid w:val="003D3DD0"/>
    <w:rsid w:val="003D4F1C"/>
    <w:rsid w:val="003D7ACE"/>
    <w:rsid w:val="003E17F0"/>
    <w:rsid w:val="00407F52"/>
    <w:rsid w:val="004125E5"/>
    <w:rsid w:val="00420513"/>
    <w:rsid w:val="00444440"/>
    <w:rsid w:val="0046637E"/>
    <w:rsid w:val="00477772"/>
    <w:rsid w:val="004E1FE1"/>
    <w:rsid w:val="004E470C"/>
    <w:rsid w:val="005052AE"/>
    <w:rsid w:val="005144F7"/>
    <w:rsid w:val="0055583A"/>
    <w:rsid w:val="00593792"/>
    <w:rsid w:val="00596FE6"/>
    <w:rsid w:val="00597661"/>
    <w:rsid w:val="005B3B9C"/>
    <w:rsid w:val="005D6BD4"/>
    <w:rsid w:val="005E5721"/>
    <w:rsid w:val="00600480"/>
    <w:rsid w:val="00621D27"/>
    <w:rsid w:val="006A1622"/>
    <w:rsid w:val="007106D1"/>
    <w:rsid w:val="00734292"/>
    <w:rsid w:val="00794AFF"/>
    <w:rsid w:val="007A78E2"/>
    <w:rsid w:val="007B0136"/>
    <w:rsid w:val="007D63E1"/>
    <w:rsid w:val="008032B0"/>
    <w:rsid w:val="00825589"/>
    <w:rsid w:val="00841F18"/>
    <w:rsid w:val="008805BE"/>
    <w:rsid w:val="00891460"/>
    <w:rsid w:val="008924BD"/>
    <w:rsid w:val="008A2568"/>
    <w:rsid w:val="008A64D1"/>
    <w:rsid w:val="008B387A"/>
    <w:rsid w:val="009222F5"/>
    <w:rsid w:val="00930248"/>
    <w:rsid w:val="00933C77"/>
    <w:rsid w:val="009742D6"/>
    <w:rsid w:val="009A2B87"/>
    <w:rsid w:val="009B6811"/>
    <w:rsid w:val="009C69F3"/>
    <w:rsid w:val="009D59F7"/>
    <w:rsid w:val="009E63B9"/>
    <w:rsid w:val="009E7E35"/>
    <w:rsid w:val="00A1046C"/>
    <w:rsid w:val="00A42316"/>
    <w:rsid w:val="00A52219"/>
    <w:rsid w:val="00A928FA"/>
    <w:rsid w:val="00AA3FAC"/>
    <w:rsid w:val="00AC6CC2"/>
    <w:rsid w:val="00AD297A"/>
    <w:rsid w:val="00AE4747"/>
    <w:rsid w:val="00AF1109"/>
    <w:rsid w:val="00B47601"/>
    <w:rsid w:val="00BB414E"/>
    <w:rsid w:val="00BB509F"/>
    <w:rsid w:val="00C03BA3"/>
    <w:rsid w:val="00C15C21"/>
    <w:rsid w:val="00C62BE3"/>
    <w:rsid w:val="00CC7A3D"/>
    <w:rsid w:val="00CD5E09"/>
    <w:rsid w:val="00CE0FA2"/>
    <w:rsid w:val="00D40430"/>
    <w:rsid w:val="00D803D5"/>
    <w:rsid w:val="00D97B16"/>
    <w:rsid w:val="00DE38D5"/>
    <w:rsid w:val="00E14D32"/>
    <w:rsid w:val="00E62D81"/>
    <w:rsid w:val="00E721C4"/>
    <w:rsid w:val="00E754FA"/>
    <w:rsid w:val="00E95BDF"/>
    <w:rsid w:val="00EC7039"/>
    <w:rsid w:val="00EF2976"/>
    <w:rsid w:val="00F2687D"/>
    <w:rsid w:val="00F32018"/>
    <w:rsid w:val="00F352AE"/>
    <w:rsid w:val="00F64F7C"/>
    <w:rsid w:val="00F66237"/>
    <w:rsid w:val="00F722A6"/>
    <w:rsid w:val="00F746A9"/>
    <w:rsid w:val="00F81519"/>
    <w:rsid w:val="00F85AA3"/>
    <w:rsid w:val="00FA3191"/>
    <w:rsid w:val="00FE1560"/>
    <w:rsid w:val="00FF1518"/>
    <w:rsid w:val="00FF5CA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5F8D"/>
  <w15:docId w15:val="{E0CA06B1-F7AE-4021-BFA9-05D5D8B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7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6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46A9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A2CE783-6E01-423E-94C2-9BE0C7FF26B3}"/>
</file>

<file path=customXml/itemProps2.xml><?xml version="1.0" encoding="utf-8"?>
<ds:datastoreItem xmlns:ds="http://schemas.openxmlformats.org/officeDocument/2006/customXml" ds:itemID="{A3043E3A-2803-4DA6-91CB-736C40E734C1}"/>
</file>

<file path=customXml/itemProps3.xml><?xml version="1.0" encoding="utf-8"?>
<ds:datastoreItem xmlns:ds="http://schemas.openxmlformats.org/officeDocument/2006/customXml" ds:itemID="{3414AC41-1FF2-4FD0-9E3B-F1B98FB6E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Dixon</dc:creator>
  <cp:lastModifiedBy>Taw Stagg</cp:lastModifiedBy>
  <cp:revision>2</cp:revision>
  <cp:lastPrinted>2024-06-11T06:53:00Z</cp:lastPrinted>
  <dcterms:created xsi:type="dcterms:W3CDTF">2025-06-04T10:35:00Z</dcterms:created>
  <dcterms:modified xsi:type="dcterms:W3CDTF">2025-06-04T10:35:00Z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