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A85648">
              <w:rPr>
                <w:rFonts w:ascii="Trebuchet MS" w:hAnsi="Trebuchet MS"/>
                <w:b/>
                <w:bCs/>
                <w:sz w:val="28"/>
                <w:szCs w:val="28"/>
              </w:rPr>
            </w:r>
            <w:r w:rsidR="00A85648">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A85648">
              <w:rPr>
                <w:rFonts w:ascii="Trebuchet MS" w:hAnsi="Trebuchet MS"/>
                <w:b/>
                <w:bCs/>
                <w:sz w:val="28"/>
                <w:szCs w:val="28"/>
              </w:rPr>
            </w:r>
            <w:r w:rsidR="00A85648">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25726580"/>
      <w:bookmarkStart w:id="184" w:name="_Toc125727197"/>
      <w:bookmarkStart w:id="185" w:name="_Toc174524933"/>
      <w:r w:rsidRPr="000E148E">
        <w:t>Prohibition Orders on Teaching Assistants</w:t>
      </w:r>
      <w:bookmarkEnd w:id="183"/>
      <w:bookmarkEnd w:id="1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5"/>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proofErr w:type="gramStart"/>
      <w:r w:rsidRPr="00197B9A">
        <w:rPr>
          <w:rFonts w:ascii="Trebuchet MS" w:hAnsi="Trebuchet MS"/>
        </w:rPr>
        <w:t>drivers</w:t>
      </w:r>
      <w:proofErr w:type="spellEnd"/>
      <w:proofErr w:type="gram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as fully as possible and bring it with you to the interview. A copy of the form is enclosed as part of the application pack</w:t>
      </w:r>
      <w:r w:rsidR="000E148E">
        <w:rPr>
          <w:rFonts w:ascii="Trebuchet MS" w:eastAsia="Calibri" w:hAnsi="Trebuchet MS"/>
          <w:snapToGrid w:val="0"/>
        </w:rPr>
        <w:t>, or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A85648"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48BCD828" w14:textId="6CA18B1F" w:rsidR="00C77B64" w:rsidRPr="00EB1ECF" w:rsidRDefault="00A85648"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25623019"/>
      <w:bookmarkStart w:id="229" w:name="_Toc125727214"/>
      <w:bookmarkStart w:id="230" w:name="_Hlk112326810"/>
      <w:bookmarkStart w:id="231" w:name="_Hlk125725595"/>
      <w:bookmarkStart w:id="232" w:name="_Toc174524937"/>
      <w:r>
        <w:br w:type="page"/>
      </w:r>
    </w:p>
    <w:p w14:paraId="06B77212" w14:textId="7F4209BB" w:rsidR="00CB7F74" w:rsidRPr="005D1817" w:rsidRDefault="00CB7F74" w:rsidP="00CB7F74">
      <w:pPr>
        <w:pStyle w:val="Heading1"/>
      </w:pPr>
      <w:r w:rsidRPr="005D1817">
        <w:t>CONFIDENTIAL: Equal Opportunities in Employment – Monitoring Form</w:t>
      </w:r>
      <w:bookmarkEnd w:id="228"/>
      <w:bookmarkEnd w:id="229"/>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A85648">
              <w:rPr>
                <w:rFonts w:ascii="Trebuchet MS" w:hAnsi="Trebuchet MS"/>
              </w:rPr>
            </w:r>
            <w:r w:rsidR="00A85648">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32"/>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4CC"/>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648"/>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3.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EPotter</cp:lastModifiedBy>
  <cp:revision>2</cp:revision>
  <cp:lastPrinted>2018-04-19T10:47:00Z</cp:lastPrinted>
  <dcterms:created xsi:type="dcterms:W3CDTF">2025-09-26T08:51:00Z</dcterms:created>
  <dcterms:modified xsi:type="dcterms:W3CDTF">2025-09-26T08:51:00Z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