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1F0F0" w14:textId="77777777" w:rsidR="00B95C29" w:rsidRDefault="00F271DC">
      <w:pPr>
        <w:spacing w:after="1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  <w:r w:rsidR="004E2EA5">
        <w:rPr>
          <w:rFonts w:asciiTheme="minorHAnsi" w:eastAsia="Arial" w:hAnsiTheme="minorHAnsi" w:cstheme="minorHAnsi"/>
        </w:rPr>
        <w:t xml:space="preserve">Springhill English Hub is seeking to recruit expert primary school </w:t>
      </w:r>
      <w:r w:rsidR="00D265AA">
        <w:rPr>
          <w:rFonts w:asciiTheme="minorHAnsi" w:eastAsia="Arial" w:hAnsiTheme="minorHAnsi" w:cstheme="minorHAnsi"/>
        </w:rPr>
        <w:t>teachers</w:t>
      </w:r>
      <w:r w:rsidR="004E2EA5">
        <w:rPr>
          <w:rFonts w:asciiTheme="minorHAnsi" w:eastAsia="Arial" w:hAnsiTheme="minorHAnsi" w:cstheme="minorHAnsi"/>
        </w:rPr>
        <w:t xml:space="preserve"> to develop and work as </w:t>
      </w:r>
      <w:r w:rsidR="004E2EA5">
        <w:rPr>
          <w:rFonts w:asciiTheme="minorHAnsi" w:eastAsia="Arial" w:hAnsiTheme="minorHAnsi" w:cstheme="minorHAnsi"/>
          <w:b/>
          <w:bCs/>
        </w:rPr>
        <w:t>Literacy Specialists</w:t>
      </w:r>
      <w:r w:rsidR="004E2EA5">
        <w:rPr>
          <w:rFonts w:asciiTheme="minorHAnsi" w:eastAsia="Arial" w:hAnsiTheme="minorHAnsi" w:cstheme="minorHAnsi"/>
        </w:rPr>
        <w:t xml:space="preserve">. This document gives information about the programme and how teachers and their schools can apply to be involved. </w:t>
      </w:r>
    </w:p>
    <w:p w14:paraId="75F50EA9" w14:textId="77777777" w:rsidR="00B95C29" w:rsidRDefault="004E2EA5">
      <w:pPr>
        <w:spacing w:after="160"/>
        <w:rPr>
          <w:rFonts w:asciiTheme="minorHAnsi" w:eastAsia="Arial" w:hAnsiTheme="minorHAnsi" w:cstheme="minorHAnsi"/>
          <w:highlight w:val="yellow"/>
          <w:u w:val="single"/>
        </w:rPr>
      </w:pPr>
      <w:r>
        <w:rPr>
          <w:rFonts w:asciiTheme="minorHAnsi" w:eastAsia="Arial" w:hAnsiTheme="minorHAnsi" w:cstheme="minorHAnsi"/>
        </w:rPr>
        <w:t xml:space="preserve">The closing date for applications </w:t>
      </w:r>
      <w:r w:rsidR="00F271DC">
        <w:rPr>
          <w:rFonts w:asciiTheme="minorHAnsi" w:eastAsia="Arial" w:hAnsiTheme="minorHAnsi" w:cstheme="minorHAnsi"/>
        </w:rPr>
        <w:t>is</w:t>
      </w:r>
      <w:r w:rsidRPr="00F271DC">
        <w:rPr>
          <w:rFonts w:asciiTheme="minorHAnsi" w:eastAsia="Arial" w:hAnsiTheme="minorHAnsi" w:cstheme="minorHAnsi"/>
        </w:rPr>
        <w:t xml:space="preserve"> </w:t>
      </w:r>
      <w:r w:rsidR="00F271DC" w:rsidRPr="00F271DC">
        <w:rPr>
          <w:rFonts w:asciiTheme="minorHAnsi" w:eastAsia="Arial" w:hAnsiTheme="minorHAnsi" w:cstheme="minorHAnsi"/>
          <w:b/>
          <w:bCs/>
        </w:rPr>
        <w:t>January</w:t>
      </w:r>
      <w:bookmarkStart w:id="0" w:name="_GoBack"/>
      <w:bookmarkEnd w:id="0"/>
      <w:r w:rsidR="00F271DC" w:rsidRPr="00F271DC">
        <w:rPr>
          <w:rFonts w:asciiTheme="minorHAnsi" w:eastAsia="Arial" w:hAnsiTheme="minorHAnsi" w:cstheme="minorHAnsi"/>
          <w:b/>
          <w:bCs/>
        </w:rPr>
        <w:t xml:space="preserve"> 4</w:t>
      </w:r>
      <w:r w:rsidR="00F271DC" w:rsidRPr="00F271DC">
        <w:rPr>
          <w:rFonts w:asciiTheme="minorHAnsi" w:eastAsia="Arial" w:hAnsiTheme="minorHAnsi" w:cstheme="minorHAnsi"/>
          <w:b/>
          <w:bCs/>
          <w:vertAlign w:val="superscript"/>
        </w:rPr>
        <w:t>th</w:t>
      </w:r>
      <w:r w:rsidR="00F271DC">
        <w:rPr>
          <w:rFonts w:asciiTheme="minorHAnsi" w:eastAsia="Arial" w:hAnsiTheme="minorHAnsi" w:cstheme="minorHAnsi"/>
          <w:b/>
          <w:bCs/>
        </w:rPr>
        <w:t>.</w:t>
      </w:r>
    </w:p>
    <w:p w14:paraId="554063C0" w14:textId="77777777" w:rsidR="00B95C29" w:rsidRDefault="004E2EA5">
      <w:pPr>
        <w:spacing w:after="160"/>
        <w:rPr>
          <w:rFonts w:asciiTheme="minorHAnsi" w:eastAsia="Arial" w:hAnsiTheme="minorHAnsi" w:cstheme="minorHAnsi"/>
          <w:b/>
          <w:bCs/>
          <w:u w:val="single"/>
        </w:rPr>
      </w:pPr>
      <w:r>
        <w:rPr>
          <w:rFonts w:asciiTheme="minorHAnsi" w:eastAsia="Arial" w:hAnsiTheme="minorHAnsi" w:cstheme="minorHAnsi"/>
          <w:b/>
          <w:bCs/>
          <w:u w:val="single"/>
        </w:rPr>
        <w:t>Background</w:t>
      </w:r>
    </w:p>
    <w:p w14:paraId="223FAE6B" w14:textId="77777777" w:rsidR="00B95C29" w:rsidRDefault="004E2EA5">
      <w:pPr>
        <w:spacing w:after="1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The Department for Education has designated 34 schools </w:t>
      </w:r>
      <w:r w:rsidR="00D265AA">
        <w:rPr>
          <w:rFonts w:asciiTheme="minorHAnsi" w:eastAsia="Arial" w:hAnsiTheme="minorHAnsi" w:cstheme="minorHAnsi"/>
        </w:rPr>
        <w:t xml:space="preserve">nationally </w:t>
      </w:r>
      <w:r>
        <w:rPr>
          <w:rFonts w:asciiTheme="minorHAnsi" w:eastAsia="Arial" w:hAnsiTheme="minorHAnsi" w:cstheme="minorHAnsi"/>
        </w:rPr>
        <w:t xml:space="preserve">as English Hubs. This network of </w:t>
      </w:r>
      <w:r w:rsidR="00D265AA">
        <w:rPr>
          <w:rFonts w:asciiTheme="minorHAnsi" w:eastAsia="Arial" w:hAnsiTheme="minorHAnsi" w:cstheme="minorHAnsi"/>
        </w:rPr>
        <w:t>high</w:t>
      </w:r>
      <w:r>
        <w:rPr>
          <w:rFonts w:asciiTheme="minorHAnsi" w:eastAsia="Arial" w:hAnsiTheme="minorHAnsi" w:cstheme="minorHAnsi"/>
        </w:rPr>
        <w:t xml:space="preserve"> performing primary schools has been set up to improve</w:t>
      </w:r>
      <w:r w:rsidR="00D265AA">
        <w:rPr>
          <w:rFonts w:asciiTheme="minorHAnsi" w:eastAsia="Arial" w:hAnsiTheme="minorHAnsi" w:cstheme="minorHAnsi"/>
        </w:rPr>
        <w:t xml:space="preserve"> early</w:t>
      </w:r>
      <w:r>
        <w:rPr>
          <w:rFonts w:asciiTheme="minorHAnsi" w:eastAsia="Arial" w:hAnsiTheme="minorHAnsi" w:cstheme="minorHAnsi"/>
        </w:rPr>
        <w:t xml:space="preserve"> reading standards across the country and improve education outcomes for the most disadvantaged children, particularly in underperforming schools</w:t>
      </w:r>
      <w:r w:rsidR="00D265AA">
        <w:rPr>
          <w:rFonts w:asciiTheme="minorHAnsi" w:eastAsia="Arial" w:hAnsiTheme="minorHAnsi" w:cstheme="minorHAnsi"/>
        </w:rPr>
        <w:t xml:space="preserve"> </w:t>
      </w:r>
      <w:bookmarkStart w:id="1" w:name="_Hlk134010630"/>
      <w:r w:rsidR="00D265AA">
        <w:rPr>
          <w:rFonts w:asciiTheme="minorHAnsi" w:eastAsia="Arial" w:hAnsiTheme="minorHAnsi" w:cstheme="minorHAnsi"/>
        </w:rPr>
        <w:t>and area</w:t>
      </w:r>
      <w:r w:rsidR="0022183D">
        <w:rPr>
          <w:rFonts w:asciiTheme="minorHAnsi" w:eastAsia="Arial" w:hAnsiTheme="minorHAnsi" w:cstheme="minorHAnsi"/>
        </w:rPr>
        <w:t>s</w:t>
      </w:r>
      <w:r w:rsidR="00D265AA">
        <w:rPr>
          <w:rFonts w:asciiTheme="minorHAnsi" w:eastAsia="Arial" w:hAnsiTheme="minorHAnsi" w:cstheme="minorHAnsi"/>
        </w:rPr>
        <w:t xml:space="preserve"> of high deprivation.</w:t>
      </w:r>
    </w:p>
    <w:p w14:paraId="00130768" w14:textId="77777777" w:rsidR="00B95C29" w:rsidRDefault="004E2EA5">
      <w:pPr>
        <w:spacing w:after="1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Springhill English Hub is based at Springhill Catholic Primary School</w:t>
      </w:r>
      <w:r w:rsidR="00D265AA">
        <w:rPr>
          <w:rFonts w:asciiTheme="minorHAnsi" w:eastAsia="Arial" w:hAnsiTheme="minorHAnsi" w:cstheme="minorHAnsi"/>
        </w:rPr>
        <w:t>, Southampton</w:t>
      </w:r>
      <w:r>
        <w:rPr>
          <w:rFonts w:asciiTheme="minorHAnsi" w:eastAsia="Arial" w:hAnsiTheme="minorHAnsi" w:cstheme="minorHAnsi"/>
        </w:rPr>
        <w:t xml:space="preserve">. Our consistent approach to the teaching of systematic, synthetic phonics has resulted in outstanding results in the Phonic Screening Check (PSC), where we have over 97% of children achieving the expected standard year-on-year. This success continues into KS1 and KS2. </w:t>
      </w:r>
    </w:p>
    <w:p w14:paraId="750FCDA9" w14:textId="77777777" w:rsidR="00D265AA" w:rsidRDefault="00D265AA">
      <w:pPr>
        <w:spacing w:after="1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Springhill English Hub work with schools across the south coast in the following local authority areas, </w:t>
      </w:r>
      <w:r w:rsidRPr="00D265AA">
        <w:rPr>
          <w:rFonts w:asciiTheme="minorHAnsi" w:eastAsia="Arial" w:hAnsiTheme="minorHAnsi" w:cstheme="minorHAnsi"/>
        </w:rPr>
        <w:t>Hampshire, the Isle of Wight. West Sussex, Mid Sussex and Lewes, East Sussex.</w:t>
      </w:r>
    </w:p>
    <w:bookmarkEnd w:id="1"/>
    <w:p w14:paraId="7A51C507" w14:textId="77777777" w:rsidR="00B95C29" w:rsidRDefault="004E2EA5">
      <w:pPr>
        <w:spacing w:after="160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What does a Literacy Specialist (LS) role involve?</w:t>
      </w:r>
    </w:p>
    <w:p w14:paraId="2E00961B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looking for a passionate and experienced EYFS/KS1 teacher, ideally taking a leading role in their phase/school</w:t>
      </w:r>
      <w:r w:rsidR="00D265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who has a proven track record of improving early reading outcomes. </w:t>
      </w:r>
    </w:p>
    <w:p w14:paraId="678B4753" w14:textId="77777777" w:rsidR="00B95C29" w:rsidRDefault="004E2EA5">
      <w:pPr>
        <w:spacing w:after="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The Literacy Specialists will: </w:t>
      </w:r>
    </w:p>
    <w:p w14:paraId="653C19DC" w14:textId="77777777" w:rsidR="00B95C29" w:rsidRPr="00D265AA" w:rsidRDefault="004E2EA5" w:rsidP="00D265AA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</w:rPr>
      </w:pPr>
      <w:bookmarkStart w:id="2" w:name="_Hlk134010738"/>
      <w:r w:rsidRPr="00D265AA">
        <w:rPr>
          <w:rFonts w:asciiTheme="minorHAnsi" w:hAnsiTheme="minorHAnsi" w:cstheme="minorHAnsi"/>
        </w:rPr>
        <w:t xml:space="preserve">Support partner school leaders to implement the ‘Challenge Checklist’ (a list of DfE approved objectives for </w:t>
      </w:r>
      <w:r w:rsidR="00D265AA" w:rsidRPr="00D265AA">
        <w:rPr>
          <w:rFonts w:asciiTheme="minorHAnsi" w:hAnsiTheme="minorHAnsi" w:cstheme="minorHAnsi"/>
        </w:rPr>
        <w:t>e</w:t>
      </w:r>
      <w:r w:rsidRPr="00D265AA">
        <w:rPr>
          <w:rFonts w:asciiTheme="minorHAnsi" w:hAnsiTheme="minorHAnsi" w:cstheme="minorHAnsi"/>
        </w:rPr>
        <w:t xml:space="preserve">arly </w:t>
      </w:r>
      <w:r w:rsidR="00D265AA" w:rsidRPr="00D265AA">
        <w:rPr>
          <w:rFonts w:asciiTheme="minorHAnsi" w:hAnsiTheme="minorHAnsi" w:cstheme="minorHAnsi"/>
        </w:rPr>
        <w:t>r</w:t>
      </w:r>
      <w:r w:rsidRPr="00D265AA">
        <w:rPr>
          <w:rFonts w:asciiTheme="minorHAnsi" w:hAnsiTheme="minorHAnsi" w:cstheme="minorHAnsi"/>
        </w:rPr>
        <w:t xml:space="preserve">eading) across next academic year. </w:t>
      </w:r>
    </w:p>
    <w:p w14:paraId="4DB8FD8A" w14:textId="77777777" w:rsidR="00D265AA" w:rsidRPr="00D265AA" w:rsidRDefault="00D265AA" w:rsidP="00D265AA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Liaise</w:t>
      </w:r>
      <w:r w:rsidR="0022183D">
        <w:rPr>
          <w:rFonts w:asciiTheme="minorHAnsi" w:hAnsiTheme="minorHAnsi" w:cstheme="minorHAnsi"/>
        </w:rPr>
        <w:t xml:space="preserve"> with SLT within partner school to implement and sustain change within early reading.</w:t>
      </w:r>
    </w:p>
    <w:p w14:paraId="4CE37132" w14:textId="77777777" w:rsidR="00B95C29" w:rsidRPr="00D265AA" w:rsidRDefault="004E2EA5" w:rsidP="00D265AA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</w:rPr>
      </w:pPr>
      <w:r w:rsidRPr="00D265AA">
        <w:rPr>
          <w:rFonts w:asciiTheme="minorHAnsi" w:hAnsiTheme="minorHAnsi" w:cstheme="minorHAnsi"/>
        </w:rPr>
        <w:t xml:space="preserve">Coach leaders and teachers within the </w:t>
      </w:r>
      <w:r w:rsidR="0022183D">
        <w:rPr>
          <w:rFonts w:asciiTheme="minorHAnsi" w:hAnsiTheme="minorHAnsi" w:cstheme="minorHAnsi"/>
        </w:rPr>
        <w:t>p</w:t>
      </w:r>
      <w:r w:rsidRPr="00D265AA">
        <w:rPr>
          <w:rFonts w:asciiTheme="minorHAnsi" w:hAnsiTheme="minorHAnsi" w:cstheme="minorHAnsi"/>
        </w:rPr>
        <w:t xml:space="preserve">artner </w:t>
      </w:r>
      <w:r w:rsidR="0022183D">
        <w:rPr>
          <w:rFonts w:asciiTheme="minorHAnsi" w:hAnsiTheme="minorHAnsi" w:cstheme="minorHAnsi"/>
        </w:rPr>
        <w:t>s</w:t>
      </w:r>
      <w:r w:rsidRPr="00D265AA">
        <w:rPr>
          <w:rFonts w:asciiTheme="minorHAnsi" w:hAnsiTheme="minorHAnsi" w:cstheme="minorHAnsi"/>
        </w:rPr>
        <w:t xml:space="preserve">chool to improve quality of SSP and </w:t>
      </w:r>
      <w:r w:rsidR="0022183D">
        <w:rPr>
          <w:rFonts w:asciiTheme="minorHAnsi" w:hAnsiTheme="minorHAnsi" w:cstheme="minorHAnsi"/>
        </w:rPr>
        <w:t>e</w:t>
      </w:r>
      <w:r w:rsidRPr="00D265AA">
        <w:rPr>
          <w:rFonts w:asciiTheme="minorHAnsi" w:hAnsiTheme="minorHAnsi" w:cstheme="minorHAnsi"/>
        </w:rPr>
        <w:t xml:space="preserve">arly </w:t>
      </w:r>
      <w:r w:rsidR="0022183D">
        <w:rPr>
          <w:rFonts w:asciiTheme="minorHAnsi" w:hAnsiTheme="minorHAnsi" w:cstheme="minorHAnsi"/>
        </w:rPr>
        <w:t>r</w:t>
      </w:r>
      <w:r w:rsidRPr="00D265AA">
        <w:rPr>
          <w:rFonts w:asciiTheme="minorHAnsi" w:hAnsiTheme="minorHAnsi" w:cstheme="minorHAnsi"/>
        </w:rPr>
        <w:t xml:space="preserve">eading teaching. </w:t>
      </w:r>
    </w:p>
    <w:p w14:paraId="4C7A71BE" w14:textId="77777777" w:rsidR="00B95C29" w:rsidRPr="00D265AA" w:rsidRDefault="004E2EA5" w:rsidP="00D265AA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</w:rPr>
      </w:pPr>
      <w:r w:rsidRPr="00D265AA">
        <w:rPr>
          <w:rFonts w:asciiTheme="minorHAnsi" w:hAnsiTheme="minorHAnsi" w:cstheme="minorHAnsi"/>
        </w:rPr>
        <w:t>Track the school</w:t>
      </w:r>
      <w:r w:rsidR="0022183D">
        <w:rPr>
          <w:rFonts w:asciiTheme="minorHAnsi" w:hAnsiTheme="minorHAnsi" w:cstheme="minorHAnsi"/>
        </w:rPr>
        <w:t>’</w:t>
      </w:r>
      <w:r w:rsidRPr="00D265AA">
        <w:rPr>
          <w:rFonts w:asciiTheme="minorHAnsi" w:hAnsiTheme="minorHAnsi" w:cstheme="minorHAnsi"/>
        </w:rPr>
        <w:t xml:space="preserve">s progress in early reading through rigorous data analysis, supporting leaders to implement interventions and close gaps. </w:t>
      </w:r>
    </w:p>
    <w:p w14:paraId="106A530E" w14:textId="77777777" w:rsidR="00B95C29" w:rsidRPr="00D265AA" w:rsidRDefault="004E2EA5" w:rsidP="00D265AA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</w:rPr>
      </w:pPr>
      <w:r w:rsidRPr="00D265AA">
        <w:rPr>
          <w:rFonts w:asciiTheme="minorHAnsi" w:hAnsiTheme="minorHAnsi" w:cstheme="minorHAnsi"/>
        </w:rPr>
        <w:t xml:space="preserve">Ensure partner school </w:t>
      </w:r>
      <w:r w:rsidR="0022183D">
        <w:rPr>
          <w:rFonts w:asciiTheme="minorHAnsi" w:hAnsiTheme="minorHAnsi" w:cstheme="minorHAnsi"/>
        </w:rPr>
        <w:t>r</w:t>
      </w:r>
      <w:r w:rsidRPr="00D265AA">
        <w:rPr>
          <w:rFonts w:asciiTheme="minorHAnsi" w:hAnsiTheme="minorHAnsi" w:cstheme="minorHAnsi"/>
        </w:rPr>
        <w:t xml:space="preserve">eading </w:t>
      </w:r>
      <w:r w:rsidR="0022183D">
        <w:rPr>
          <w:rFonts w:asciiTheme="minorHAnsi" w:hAnsiTheme="minorHAnsi" w:cstheme="minorHAnsi"/>
        </w:rPr>
        <w:t>l</w:t>
      </w:r>
      <w:r w:rsidRPr="00D265AA">
        <w:rPr>
          <w:rFonts w:asciiTheme="minorHAnsi" w:hAnsiTheme="minorHAnsi" w:cstheme="minorHAnsi"/>
        </w:rPr>
        <w:t>eaders submit half-termly progress data to the</w:t>
      </w:r>
      <w:r w:rsidR="0022183D">
        <w:rPr>
          <w:rFonts w:asciiTheme="minorHAnsi" w:hAnsiTheme="minorHAnsi" w:cstheme="minorHAnsi"/>
        </w:rPr>
        <w:t xml:space="preserve"> English H</w:t>
      </w:r>
      <w:r w:rsidRPr="00D265AA">
        <w:rPr>
          <w:rFonts w:asciiTheme="minorHAnsi" w:hAnsiTheme="minorHAnsi" w:cstheme="minorHAnsi"/>
        </w:rPr>
        <w:t xml:space="preserve">ub. </w:t>
      </w:r>
    </w:p>
    <w:p w14:paraId="5A00E912" w14:textId="77777777" w:rsidR="00B95C29" w:rsidRPr="00D265AA" w:rsidRDefault="004E2EA5" w:rsidP="00D265AA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</w:rPr>
      </w:pPr>
      <w:r w:rsidRPr="00D265AA">
        <w:rPr>
          <w:rFonts w:asciiTheme="minorHAnsi" w:hAnsiTheme="minorHAnsi" w:cstheme="minorHAnsi"/>
        </w:rPr>
        <w:t xml:space="preserve">Produce a report after each visit, detailing specific actions for implementation </w:t>
      </w:r>
    </w:p>
    <w:p w14:paraId="6FFA3F16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Hub support/training provided for the Literacy Specialist:</w:t>
      </w:r>
      <w:bookmarkEnd w:id="2"/>
      <w:r>
        <w:rPr>
          <w:rFonts w:asciiTheme="minorHAnsi" w:hAnsiTheme="minorHAnsi" w:cstheme="minorHAnsi"/>
        </w:rPr>
        <w:t xml:space="preserve"> </w:t>
      </w:r>
    </w:p>
    <w:p w14:paraId="6E53303E" w14:textId="77777777" w:rsidR="00B95C29" w:rsidRDefault="004E2EA5">
      <w:pPr>
        <w:spacing w:after="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Our Hub Lead will ensure the LS is fully supported by: </w:t>
      </w:r>
    </w:p>
    <w:p w14:paraId="086EA11B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• Providing professional development and training from the DfE, SSP providers and English Hub. </w:t>
      </w:r>
    </w:p>
    <w:p w14:paraId="17272F8D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• Supporting LS’s on joint Partner School visits.</w:t>
      </w:r>
    </w:p>
    <w:p w14:paraId="5557E42D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• Meeting frequently with the LS team to reaffirm core messages, deliver CPD and support with analysing school data. </w:t>
      </w:r>
    </w:p>
    <w:p w14:paraId="27D975C8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• Providing systems and key documentation to ensure consistency across all LS reporting </w:t>
      </w:r>
    </w:p>
    <w:p w14:paraId="5C882E8E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• Providing opportunities to observe best practice SSP in other schools </w:t>
      </w:r>
    </w:p>
    <w:p w14:paraId="6F6EE090" w14:textId="77777777" w:rsidR="00B95C29" w:rsidRDefault="004E2EA5">
      <w:pPr>
        <w:spacing w:after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• Ensuring communication lines are always open </w:t>
      </w:r>
    </w:p>
    <w:p w14:paraId="0BA9F27F" w14:textId="77777777" w:rsidR="00B95C29" w:rsidRDefault="00B95C29">
      <w:pPr>
        <w:spacing w:after="160"/>
        <w:rPr>
          <w:rFonts w:asciiTheme="minorHAnsi" w:eastAsia="Arial" w:hAnsiTheme="minorHAnsi" w:cstheme="minorHAnsi"/>
          <w:sz w:val="22"/>
          <w:szCs w:val="22"/>
        </w:rPr>
      </w:pPr>
    </w:p>
    <w:p w14:paraId="11C8A11F" w14:textId="77777777" w:rsidR="00B95C29" w:rsidRDefault="004E2EA5">
      <w:pPr>
        <w:spacing w:after="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 commitment: </w:t>
      </w:r>
    </w:p>
    <w:p w14:paraId="58D9D177" w14:textId="77777777" w:rsidR="00B95C29" w:rsidRDefault="004E2EA5">
      <w:pPr>
        <w:spacing w:after="160"/>
        <w:rPr>
          <w:rFonts w:asciiTheme="minorHAnsi" w:hAnsiTheme="minorHAnsi" w:cstheme="minorHAnsi"/>
        </w:rPr>
      </w:pPr>
      <w:bookmarkStart w:id="3" w:name="_Hlk134010889"/>
      <w:r>
        <w:rPr>
          <w:rFonts w:asciiTheme="minorHAnsi" w:hAnsiTheme="minorHAnsi" w:cstheme="minorHAnsi"/>
        </w:rPr>
        <w:t>•</w:t>
      </w:r>
      <w:r w:rsidR="00F271DC">
        <w:rPr>
          <w:rFonts w:asciiTheme="minorHAnsi" w:hAnsiTheme="minorHAnsi" w:cstheme="minorHAnsi"/>
        </w:rPr>
        <w:t xml:space="preserve">To be negotiated </w:t>
      </w:r>
    </w:p>
    <w:bookmarkEnd w:id="3"/>
    <w:p w14:paraId="3745ACB4" w14:textId="77777777" w:rsidR="00B95C29" w:rsidRDefault="004E2EA5">
      <w:pPr>
        <w:spacing w:after="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Funding: </w:t>
      </w:r>
    </w:p>
    <w:p w14:paraId="06FF5381" w14:textId="77777777" w:rsidR="00B95C29" w:rsidRDefault="004E2EA5">
      <w:pPr>
        <w:spacing w:after="16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• </w:t>
      </w:r>
      <w:r w:rsidR="00F271DC">
        <w:rPr>
          <w:rFonts w:asciiTheme="minorHAnsi" w:hAnsiTheme="minorHAnsi" w:cstheme="minorHAnsi"/>
        </w:rPr>
        <w:t>To be negotiated and dependent on experience</w:t>
      </w:r>
      <w:r>
        <w:rPr>
          <w:rFonts w:asciiTheme="minorHAnsi" w:hAnsiTheme="minorHAnsi" w:cstheme="minorHAnsi"/>
        </w:rPr>
        <w:t xml:space="preserve"> </w:t>
      </w:r>
    </w:p>
    <w:sectPr w:rsidR="00B9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65881"/>
    <w:multiLevelType w:val="hybridMultilevel"/>
    <w:tmpl w:val="B022B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F4218E"/>
    <w:multiLevelType w:val="hybridMultilevel"/>
    <w:tmpl w:val="F3E88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45936"/>
    <w:multiLevelType w:val="hybridMultilevel"/>
    <w:tmpl w:val="4E38214E"/>
    <w:lvl w:ilvl="0" w:tplc="9C6EC782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05A6E"/>
    <w:multiLevelType w:val="hybridMultilevel"/>
    <w:tmpl w:val="2ED881A0"/>
    <w:lvl w:ilvl="0" w:tplc="9C6EC782">
      <w:numFmt w:val="bullet"/>
      <w:lvlText w:val="•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29"/>
    <w:rsid w:val="0022183D"/>
    <w:rsid w:val="00462CA9"/>
    <w:rsid w:val="004E2EA5"/>
    <w:rsid w:val="00B95C29"/>
    <w:rsid w:val="00D265AA"/>
    <w:rsid w:val="00F2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7DCF"/>
  <w15:chartTrackingRefBased/>
  <w15:docId w15:val="{4C897D9F-B5C3-4A8D-BCC6-FCBE632E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EEC9CE14164EB6B5ACA7336FE592" ma:contentTypeVersion="13" ma:contentTypeDescription="Create a new document." ma:contentTypeScope="" ma:versionID="cc8d89dd72a48f7f79fdcb0efb176fe7">
  <xsd:schema xmlns:xsd="http://www.w3.org/2001/XMLSchema" xmlns:xs="http://www.w3.org/2001/XMLSchema" xmlns:p="http://schemas.microsoft.com/office/2006/metadata/properties" xmlns:ns2="49e083f8-b15c-4fb0-8b43-198f69d728fb" xmlns:ns3="82384bcc-5153-422a-a6d6-84abc311ae7e" targetNamespace="http://schemas.microsoft.com/office/2006/metadata/properties" ma:root="true" ma:fieldsID="d58a27ed3aa705d6a22c3a56ea50f826" ns2:_="" ns3:_="">
    <xsd:import namespace="49e083f8-b15c-4fb0-8b43-198f69d728fb"/>
    <xsd:import namespace="82384bcc-5153-422a-a6d6-84abc311a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83f8-b15c-4fb0-8b43-198f69d7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14f548d-a85c-4e40-908f-9d7ef7ae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4bcc-5153-422a-a6d6-84abc311ae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c02858-4b61-4405-b2f4-694af9bd16c7}" ma:internalName="TaxCatchAll" ma:showField="CatchAllData" ma:web="82384bcc-5153-422a-a6d6-84abc311a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84bcc-5153-422a-a6d6-84abc311ae7e"/>
    <lcf76f155ced4ddcb4097134ff3c332f xmlns="49e083f8-b15c-4fb0-8b43-198f69d7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63B2C-767F-4FF5-93FC-DE6DEF8CC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83f8-b15c-4fb0-8b43-198f69d728fb"/>
    <ds:schemaRef ds:uri="82384bcc-5153-422a-a6d6-84abc311a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8CD2D-FC88-478F-AC6A-6B7FFCB55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44343-E3F5-4F13-9C89-CD5A73C8283F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9e083f8-b15c-4fb0-8b43-198f69d728f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2384bcc-5153-422a-a6d6-84abc311ae7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Springhill School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Webb</dc:creator>
  <cp:keywords/>
  <dc:description/>
  <cp:lastModifiedBy>Mrs S Keogh-Foy</cp:lastModifiedBy>
  <cp:revision>2</cp:revision>
  <cp:lastPrinted>2023-05-03T12:03:00Z</cp:lastPrinted>
  <dcterms:created xsi:type="dcterms:W3CDTF">2025-12-18T16:17:00Z</dcterms:created>
  <dcterms:modified xsi:type="dcterms:W3CDTF">2025-12-18T16:17:00Z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0x0101004591EEC9CE14164EB6B5ACA7336FE592</vt:lpwstr>
  </property>
</Properties>
</file>