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76575" w14:textId="77777777" w:rsidR="00806EE9" w:rsidRPr="000B0AF4" w:rsidRDefault="00806EE9">
      <w:r w:rsidRPr="000B0AF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D79DB24" wp14:editId="633A1E9C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Through wrapText="bothSides">
              <wp:wrapPolygon edited="0">
                <wp:start x="0" y="0"/>
                <wp:lineTo x="0" y="21366"/>
                <wp:lineTo x="21441" y="21366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C240C" w14:textId="77777777" w:rsidR="00806EE9" w:rsidRPr="000B0AF4" w:rsidRDefault="00E9470E" w:rsidP="00806EE9">
      <w:pPr>
        <w:pStyle w:val="Heading1"/>
      </w:pPr>
      <w:r w:rsidRPr="000B0AF4">
        <w:t>Job Description</w:t>
      </w:r>
    </w:p>
    <w:p w14:paraId="5E5FEBCD" w14:textId="21D4841D" w:rsidR="00806EE9" w:rsidRPr="000B0AF4" w:rsidRDefault="00806EE9" w:rsidP="00806EE9"/>
    <w:p w14:paraId="70DD107E" w14:textId="77777777" w:rsidR="00B225D1" w:rsidRPr="000B0AF4" w:rsidRDefault="00B225D1" w:rsidP="00806EE9"/>
    <w:p w14:paraId="26CDD3ED" w14:textId="3848BEBC" w:rsidR="0035793C" w:rsidRPr="000B0AF4" w:rsidRDefault="0035793C" w:rsidP="00806EE9">
      <w:r w:rsidRPr="000B0AF4">
        <w:t xml:space="preserve">For more general information about working at GWA please refer to the </w:t>
      </w:r>
      <w:r w:rsidR="00B225D1" w:rsidRPr="000B0AF4">
        <w:t xml:space="preserve">Candidate Information Leaflet and the </w:t>
      </w:r>
      <w:r w:rsidRPr="000B0AF4">
        <w:t>Information for Applicants issued with this job description.</w:t>
      </w:r>
    </w:p>
    <w:p w14:paraId="20E5F2AA" w14:textId="77777777" w:rsidR="00806EE9" w:rsidRPr="000B0AF4" w:rsidRDefault="00806EE9" w:rsidP="00FE6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A5067" w:rsidRPr="000B0AF4" w14:paraId="7F7F15CF" w14:textId="77777777" w:rsidTr="1990B30B">
        <w:tc>
          <w:tcPr>
            <w:tcW w:w="2405" w:type="dxa"/>
          </w:tcPr>
          <w:p w14:paraId="309B1968" w14:textId="77777777" w:rsidR="00E9470E" w:rsidRPr="000B0AF4" w:rsidRDefault="00E9470E" w:rsidP="00FE620D">
            <w:pPr>
              <w:rPr>
                <w:b/>
              </w:rPr>
            </w:pPr>
            <w:r w:rsidRPr="000B0AF4">
              <w:rPr>
                <w:b/>
              </w:rPr>
              <w:t>Job Title</w:t>
            </w:r>
          </w:p>
        </w:tc>
        <w:tc>
          <w:tcPr>
            <w:tcW w:w="8051" w:type="dxa"/>
          </w:tcPr>
          <w:p w14:paraId="2A8318E8" w14:textId="53FEC74D" w:rsidR="00FB77CF" w:rsidRPr="000B0AF4" w:rsidRDefault="716C93D6" w:rsidP="29FA699F">
            <w:r w:rsidRPr="000B0AF4">
              <w:rPr>
                <w:rFonts w:ascii="Calibri" w:eastAsia="Calibri" w:hAnsi="Calibri" w:cs="Calibri"/>
              </w:rPr>
              <w:t>Exams Invigilator</w:t>
            </w:r>
            <w:r w:rsidR="42B26E92" w:rsidRPr="000B0AF4">
              <w:t xml:space="preserve"> </w:t>
            </w:r>
          </w:p>
          <w:p w14:paraId="492A86B8" w14:textId="2BC3BEC9" w:rsidR="00FB77CF" w:rsidRPr="000B0AF4" w:rsidRDefault="050FC508" w:rsidP="29FA699F">
            <w:pPr>
              <w:rPr>
                <w:rFonts w:ascii="Calibri" w:eastAsia="Calibri" w:hAnsi="Calibri" w:cs="Calibri"/>
              </w:rPr>
            </w:pPr>
            <w:r w:rsidRPr="60D7DC46">
              <w:rPr>
                <w:rFonts w:ascii="Calibri" w:eastAsia="Calibri" w:hAnsi="Calibri" w:cs="Calibri"/>
              </w:rPr>
              <w:t>Invigilators need to be available during the months of May</w:t>
            </w:r>
            <w:r w:rsidR="00134300" w:rsidRPr="60D7DC46">
              <w:rPr>
                <w:rFonts w:ascii="Calibri" w:eastAsia="Calibri" w:hAnsi="Calibri" w:cs="Calibri"/>
              </w:rPr>
              <w:t xml:space="preserve"> and</w:t>
            </w:r>
            <w:r w:rsidR="00B64F63" w:rsidRPr="60D7DC46">
              <w:rPr>
                <w:rFonts w:ascii="Calibri" w:eastAsia="Calibri" w:hAnsi="Calibri" w:cs="Calibri"/>
              </w:rPr>
              <w:t xml:space="preserve"> </w:t>
            </w:r>
            <w:r w:rsidRPr="60D7DC46">
              <w:rPr>
                <w:rFonts w:ascii="Calibri" w:eastAsia="Calibri" w:hAnsi="Calibri" w:cs="Calibri"/>
              </w:rPr>
              <w:t>June</w:t>
            </w:r>
            <w:r w:rsidR="00134300" w:rsidRPr="60D7DC46">
              <w:rPr>
                <w:rFonts w:ascii="Calibri" w:eastAsia="Calibri" w:hAnsi="Calibri" w:cs="Calibri"/>
              </w:rPr>
              <w:t xml:space="preserve"> (for at least 6</w:t>
            </w:r>
            <w:r w:rsidR="59EB2C03" w:rsidRPr="60D7DC46">
              <w:rPr>
                <w:rFonts w:ascii="Calibri" w:eastAsia="Calibri" w:hAnsi="Calibri" w:cs="Calibri"/>
              </w:rPr>
              <w:t xml:space="preserve"> half day</w:t>
            </w:r>
            <w:r w:rsidR="00134300" w:rsidRPr="60D7DC46">
              <w:rPr>
                <w:rFonts w:ascii="Calibri" w:eastAsia="Calibri" w:hAnsi="Calibri" w:cs="Calibri"/>
              </w:rPr>
              <w:t xml:space="preserve"> sessions per week) and preferably in January, July and November</w:t>
            </w:r>
            <w:r w:rsidRPr="60D7DC46">
              <w:rPr>
                <w:rFonts w:ascii="Calibri" w:eastAsia="Calibri" w:hAnsi="Calibri" w:cs="Calibri"/>
              </w:rPr>
              <w:t xml:space="preserve"> </w:t>
            </w:r>
            <w:r w:rsidR="00134300" w:rsidRPr="60D7DC46">
              <w:rPr>
                <w:rFonts w:ascii="Calibri" w:eastAsia="Calibri" w:hAnsi="Calibri" w:cs="Calibri"/>
              </w:rPr>
              <w:t>for mock exams.</w:t>
            </w:r>
          </w:p>
        </w:tc>
      </w:tr>
      <w:tr w:rsidR="00AA5067" w:rsidRPr="000B0AF4" w14:paraId="7C60FBB5" w14:textId="77777777" w:rsidTr="1990B30B">
        <w:tc>
          <w:tcPr>
            <w:tcW w:w="2405" w:type="dxa"/>
          </w:tcPr>
          <w:p w14:paraId="4974A5A7" w14:textId="77777777" w:rsidR="00E9470E" w:rsidRPr="000B0AF4" w:rsidRDefault="00E9470E" w:rsidP="00FE620D">
            <w:pPr>
              <w:rPr>
                <w:b/>
              </w:rPr>
            </w:pPr>
            <w:r w:rsidRPr="000B0AF4">
              <w:rPr>
                <w:b/>
              </w:rPr>
              <w:t>Accountable To</w:t>
            </w:r>
          </w:p>
        </w:tc>
        <w:tc>
          <w:tcPr>
            <w:tcW w:w="8051" w:type="dxa"/>
          </w:tcPr>
          <w:p w14:paraId="1B03D076" w14:textId="05B6E0E0" w:rsidR="00E9470E" w:rsidRPr="000B0AF4" w:rsidRDefault="03ABBB16" w:rsidP="29FA699F">
            <w:r w:rsidRPr="000B0AF4">
              <w:t>Exams Officer</w:t>
            </w:r>
          </w:p>
        </w:tc>
      </w:tr>
      <w:tr w:rsidR="00AA5067" w:rsidRPr="000B0AF4" w14:paraId="7C34C088" w14:textId="77777777" w:rsidTr="1990B30B">
        <w:tc>
          <w:tcPr>
            <w:tcW w:w="2405" w:type="dxa"/>
          </w:tcPr>
          <w:p w14:paraId="2FA53B7A" w14:textId="77777777" w:rsidR="00E9470E" w:rsidRPr="000B0AF4" w:rsidRDefault="00E9470E" w:rsidP="00FE620D">
            <w:pPr>
              <w:rPr>
                <w:b/>
              </w:rPr>
            </w:pPr>
            <w:r w:rsidRPr="000B0AF4">
              <w:rPr>
                <w:b/>
              </w:rPr>
              <w:t>Job Purpose</w:t>
            </w:r>
          </w:p>
        </w:tc>
        <w:tc>
          <w:tcPr>
            <w:tcW w:w="8051" w:type="dxa"/>
          </w:tcPr>
          <w:p w14:paraId="70E7805F" w14:textId="243BDA28" w:rsidR="00E9470E" w:rsidRPr="000B0AF4" w:rsidRDefault="71D2741C" w:rsidP="29FA699F">
            <w:pPr>
              <w:rPr>
                <w:rFonts w:ascii="Calibri" w:eastAsia="Calibri" w:hAnsi="Calibri" w:cs="Calibri"/>
              </w:rPr>
            </w:pPr>
            <w:r w:rsidRPr="000B0AF4">
              <w:rPr>
                <w:rFonts w:ascii="Calibri" w:eastAsia="Calibri" w:hAnsi="Calibri" w:cs="Calibri"/>
              </w:rPr>
              <w:t>To provide support to Great Western Academy’s examination process</w:t>
            </w:r>
          </w:p>
        </w:tc>
      </w:tr>
      <w:tr w:rsidR="00AA5067" w:rsidRPr="000B0AF4" w14:paraId="1A3C912C" w14:textId="77777777" w:rsidTr="1990B30B">
        <w:tc>
          <w:tcPr>
            <w:tcW w:w="2405" w:type="dxa"/>
          </w:tcPr>
          <w:p w14:paraId="0ECB23B6" w14:textId="77777777" w:rsidR="00E9470E" w:rsidRPr="000B0AF4" w:rsidRDefault="00E9470E" w:rsidP="00FE620D">
            <w:pPr>
              <w:rPr>
                <w:b/>
              </w:rPr>
            </w:pPr>
            <w:r w:rsidRPr="000B0AF4">
              <w:rPr>
                <w:b/>
              </w:rPr>
              <w:t>Salary</w:t>
            </w:r>
          </w:p>
        </w:tc>
        <w:tc>
          <w:tcPr>
            <w:tcW w:w="8051" w:type="dxa"/>
          </w:tcPr>
          <w:p w14:paraId="2225ABCD" w14:textId="6F74BD50" w:rsidR="006112D4" w:rsidRPr="000B0AF4" w:rsidRDefault="00BF12FC" w:rsidP="1EB01592">
            <w:pPr>
              <w:rPr>
                <w:rFonts w:cs="Helvetica"/>
                <w:color w:val="323232"/>
                <w:highlight w:val="yellow"/>
              </w:rPr>
            </w:pPr>
            <w:r w:rsidRPr="000B0AF4">
              <w:rPr>
                <w:rFonts w:cs="Helvetica"/>
                <w:color w:val="323232"/>
              </w:rPr>
              <w:t xml:space="preserve">NJC Scale Point </w:t>
            </w:r>
            <w:r w:rsidR="3A81F707" w:rsidRPr="000B0AF4">
              <w:rPr>
                <w:rFonts w:cs="Helvetica"/>
                <w:color w:val="323232"/>
              </w:rPr>
              <w:t xml:space="preserve">2 </w:t>
            </w:r>
            <w:r w:rsidR="6E005D93" w:rsidRPr="00DA6E58">
              <w:rPr>
                <w:rFonts w:cs="Helvetica"/>
                <w:color w:val="323232"/>
              </w:rPr>
              <w:t>£</w:t>
            </w:r>
            <w:r w:rsidR="006476A1">
              <w:rPr>
                <w:rFonts w:cs="Helvetica"/>
                <w:color w:val="323232"/>
              </w:rPr>
              <w:t>1</w:t>
            </w:r>
            <w:r w:rsidR="007F3F30">
              <w:rPr>
                <w:rFonts w:cs="Helvetica"/>
                <w:color w:val="323232"/>
              </w:rPr>
              <w:t>2.26</w:t>
            </w:r>
            <w:r w:rsidR="6E005D93" w:rsidRPr="00DA6E58">
              <w:rPr>
                <w:rFonts w:cs="Helvetica"/>
                <w:color w:val="323232"/>
              </w:rPr>
              <w:t>ph /</w:t>
            </w:r>
            <w:r w:rsidR="742F59FC" w:rsidRPr="00DA6E58">
              <w:rPr>
                <w:rFonts w:cs="Helvetica"/>
                <w:color w:val="323232"/>
              </w:rPr>
              <w:t>£</w:t>
            </w:r>
            <w:r w:rsidR="006476A1">
              <w:rPr>
                <w:rFonts w:cs="Helvetica"/>
                <w:color w:val="323232"/>
              </w:rPr>
              <w:t>2</w:t>
            </w:r>
            <w:r w:rsidR="007F3F30">
              <w:rPr>
                <w:rFonts w:cs="Helvetica"/>
                <w:color w:val="323232"/>
              </w:rPr>
              <w:t>3</w:t>
            </w:r>
            <w:r w:rsidR="004362AE">
              <w:rPr>
                <w:rFonts w:cs="Helvetica"/>
                <w:color w:val="323232"/>
              </w:rPr>
              <w:t>,</w:t>
            </w:r>
            <w:r w:rsidR="007F3F30">
              <w:rPr>
                <w:rFonts w:cs="Helvetica"/>
                <w:color w:val="323232"/>
              </w:rPr>
              <w:t>656</w:t>
            </w:r>
            <w:r w:rsidR="122976C2" w:rsidRPr="00DA6E58">
              <w:rPr>
                <w:rFonts w:cs="Helvetica"/>
                <w:color w:val="323232"/>
              </w:rPr>
              <w:t xml:space="preserve"> </w:t>
            </w:r>
            <w:r w:rsidR="0FC23CBB" w:rsidRPr="00DA6E58">
              <w:rPr>
                <w:rFonts w:cs="Helvetica"/>
                <w:color w:val="323232"/>
              </w:rPr>
              <w:t>FTE</w:t>
            </w:r>
            <w:r w:rsidR="007F3F30">
              <w:rPr>
                <w:rFonts w:cs="Helvetica"/>
                <w:color w:val="323232"/>
              </w:rPr>
              <w:t xml:space="preserve"> plus holiday plussage of £1.53ph</w:t>
            </w:r>
          </w:p>
        </w:tc>
      </w:tr>
      <w:tr w:rsidR="008A4D20" w:rsidRPr="000B0AF4" w14:paraId="4A4FE4EB" w14:textId="77777777" w:rsidTr="1990B30B">
        <w:tc>
          <w:tcPr>
            <w:tcW w:w="2405" w:type="dxa"/>
          </w:tcPr>
          <w:p w14:paraId="0331BC9B" w14:textId="16F960AB" w:rsidR="008A4D20" w:rsidRPr="000B0AF4" w:rsidRDefault="008A4D20" w:rsidP="00FE620D">
            <w:pPr>
              <w:rPr>
                <w:b/>
              </w:rPr>
            </w:pPr>
            <w:r w:rsidRPr="000B0AF4">
              <w:rPr>
                <w:b/>
              </w:rPr>
              <w:t>Start Date</w:t>
            </w:r>
          </w:p>
        </w:tc>
        <w:tc>
          <w:tcPr>
            <w:tcW w:w="8051" w:type="dxa"/>
          </w:tcPr>
          <w:p w14:paraId="261D3A3C" w14:textId="6D1C696A" w:rsidR="008A4D20" w:rsidRPr="000B0AF4" w:rsidRDefault="0A8655DA" w:rsidP="29FA699F">
            <w:pPr>
              <w:rPr>
                <w:rFonts w:ascii="Calibri" w:eastAsia="Calibri" w:hAnsi="Calibri" w:cs="Calibri"/>
              </w:rPr>
            </w:pPr>
            <w:r w:rsidRPr="1990B30B">
              <w:rPr>
                <w:rFonts w:ascii="Calibri" w:eastAsia="Calibri" w:hAnsi="Calibri" w:cs="Calibri"/>
              </w:rPr>
              <w:t>01/0</w:t>
            </w:r>
            <w:r w:rsidR="007F3F30">
              <w:rPr>
                <w:rFonts w:ascii="Calibri" w:eastAsia="Calibri" w:hAnsi="Calibri" w:cs="Calibri"/>
              </w:rPr>
              <w:t>4</w:t>
            </w:r>
            <w:r w:rsidRPr="1990B30B">
              <w:rPr>
                <w:rFonts w:ascii="Calibri" w:eastAsia="Calibri" w:hAnsi="Calibri" w:cs="Calibri"/>
              </w:rPr>
              <w:t>/2025</w:t>
            </w:r>
          </w:p>
        </w:tc>
      </w:tr>
    </w:tbl>
    <w:p w14:paraId="2099F338" w14:textId="77777777" w:rsidR="00FE620D" w:rsidRPr="000B0AF4" w:rsidRDefault="00FE620D" w:rsidP="00FE620D"/>
    <w:p w14:paraId="4D146197" w14:textId="6AB5F7C3" w:rsidR="00DF0549" w:rsidRPr="000B0AF4" w:rsidRDefault="00E9470E" w:rsidP="00E9470E">
      <w:pPr>
        <w:rPr>
          <w:i/>
        </w:rPr>
      </w:pPr>
      <w:r w:rsidRPr="000B0AF4">
        <w:rPr>
          <w:i/>
        </w:rPr>
        <w:t xml:space="preserve">This job description details the responsibilities of the </w:t>
      </w:r>
      <w:r w:rsidR="00311420" w:rsidRPr="000B0AF4">
        <w:rPr>
          <w:i/>
        </w:rPr>
        <w:t>post but</w:t>
      </w:r>
      <w:r w:rsidRPr="000B0AF4">
        <w:rPr>
          <w:i/>
        </w:rPr>
        <w:t xml:space="preserve"> does not direct any particular priorities or amount of time to be spent carrying out the duties. It is not prescriptive, nor necessarily a comprehensive definition of the post. As such, it may be subject to amendment, after consultation, to meet the changing needs of the Academy and the </w:t>
      </w:r>
      <w:r w:rsidR="00F75566" w:rsidRPr="000B0AF4">
        <w:rPr>
          <w:i/>
        </w:rPr>
        <w:t xml:space="preserve">Multi </w:t>
      </w:r>
      <w:r w:rsidR="00DF0549" w:rsidRPr="000B0AF4">
        <w:rPr>
          <w:i/>
        </w:rPr>
        <w:t>Academy Trust</w:t>
      </w:r>
      <w:r w:rsidR="00F75566" w:rsidRPr="000B0AF4">
        <w:rPr>
          <w:i/>
        </w:rPr>
        <w:t xml:space="preserve"> (MAT)</w:t>
      </w:r>
      <w:r w:rsidR="00A16CDC" w:rsidRPr="000B0AF4">
        <w:rPr>
          <w:i/>
        </w:rPr>
        <w:t>.</w:t>
      </w:r>
    </w:p>
    <w:p w14:paraId="0C21107E" w14:textId="094FF53B" w:rsidR="008D6750" w:rsidRPr="000B0AF4" w:rsidRDefault="00E9470E" w:rsidP="00E9470E">
      <w:r w:rsidRPr="000B0AF4">
        <w:t xml:space="preserve"> </w:t>
      </w:r>
    </w:p>
    <w:p w14:paraId="5A22C0C9" w14:textId="0145832A" w:rsidR="00E9470E" w:rsidRPr="000B0AF4" w:rsidRDefault="00E9470E" w:rsidP="002005F5">
      <w:pPr>
        <w:rPr>
          <w:i/>
        </w:rPr>
      </w:pPr>
      <w:r w:rsidRPr="000B0AF4">
        <w:rPr>
          <w:i/>
        </w:rPr>
        <w:t>Great Western Academy is committed to safeguarding and promoting the welfare of children, young people and vulnerable adults and we expect all staff to share this commitment</w:t>
      </w:r>
      <w:r w:rsidR="00305DDB" w:rsidRPr="000B0AF4">
        <w:rPr>
          <w:i/>
        </w:rPr>
        <w:t xml:space="preserve"> and undergo appropriate checks. A</w:t>
      </w:r>
      <w:r w:rsidRPr="000B0AF4">
        <w:rPr>
          <w:i/>
        </w:rPr>
        <w:t>ll posts within the trust are</w:t>
      </w:r>
      <w:r w:rsidR="00305DDB" w:rsidRPr="000B0AF4">
        <w:rPr>
          <w:i/>
        </w:rPr>
        <w:t xml:space="preserve"> therefore</w:t>
      </w:r>
      <w:r w:rsidRPr="000B0AF4">
        <w:rPr>
          <w:i/>
        </w:rPr>
        <w:t xml:space="preserve"> subject to an enhanced DBS and barred list check.</w:t>
      </w:r>
    </w:p>
    <w:p w14:paraId="6A8C99F4" w14:textId="528E9A35" w:rsidR="007A1E84" w:rsidRPr="000B0AF4" w:rsidRDefault="00693F44" w:rsidP="007A1E84">
      <w:pPr>
        <w:pStyle w:val="ListParagraph"/>
        <w:numPr>
          <w:ilvl w:val="0"/>
          <w:numId w:val="22"/>
        </w:numPr>
        <w:spacing w:after="0"/>
        <w:jc w:val="both"/>
        <w:rPr>
          <w:rFonts w:eastAsia="Times New Roman" w:cstheme="minorHAnsi"/>
          <w:bCs/>
        </w:rPr>
      </w:pPr>
      <w:r w:rsidRPr="000B0AF4">
        <w:rPr>
          <w:rFonts w:eastAsia="Times New Roman" w:cstheme="minorHAnsi"/>
          <w:bCs/>
        </w:rPr>
        <w:t>Key outcomes</w:t>
      </w:r>
    </w:p>
    <w:p w14:paraId="0BF02596" w14:textId="2D06F070" w:rsidR="00975A2A" w:rsidRPr="000B0AF4" w:rsidRDefault="00693F44" w:rsidP="002005F5">
      <w:pPr>
        <w:pStyle w:val="ListParagraph"/>
        <w:spacing w:after="0"/>
        <w:jc w:val="both"/>
        <w:rPr>
          <w:rFonts w:eastAsia="Times New Roman" w:cstheme="minorHAnsi"/>
          <w:bCs/>
        </w:rPr>
      </w:pPr>
      <w:r w:rsidRPr="000B0AF4">
        <w:rPr>
          <w:rFonts w:eastAsia="Times New Roman" w:cstheme="minorHAnsi"/>
          <w:bCs/>
        </w:rPr>
        <w:t xml:space="preserve">To oversee and supervise examinations and to ensure that guidelines and regulations for the </w:t>
      </w:r>
      <w:r w:rsidR="002005F5" w:rsidRPr="000B0AF4">
        <w:rPr>
          <w:rFonts w:eastAsia="Times New Roman" w:cstheme="minorHAnsi"/>
          <w:bCs/>
        </w:rPr>
        <w:t>integrity and security of the examination papers and procedures are followed during examination sessions.</w:t>
      </w:r>
    </w:p>
    <w:p w14:paraId="652BAFDC" w14:textId="77777777" w:rsidR="002005F5" w:rsidRPr="000B0AF4" w:rsidRDefault="002005F5" w:rsidP="002005F5">
      <w:pPr>
        <w:pStyle w:val="ListParagraph"/>
        <w:spacing w:after="0"/>
        <w:jc w:val="both"/>
        <w:rPr>
          <w:rFonts w:eastAsia="Times New Roman" w:cstheme="minorHAnsi"/>
          <w:bCs/>
        </w:rPr>
      </w:pPr>
    </w:p>
    <w:p w14:paraId="12A68839" w14:textId="31839EF9" w:rsidR="00D830BD" w:rsidRDefault="00BF12FC" w:rsidP="002005F5">
      <w:pPr>
        <w:pStyle w:val="ListParagraph"/>
        <w:numPr>
          <w:ilvl w:val="0"/>
          <w:numId w:val="22"/>
        </w:numPr>
        <w:spacing w:after="0"/>
        <w:jc w:val="both"/>
        <w:rPr>
          <w:rFonts w:eastAsia="Times New Roman" w:cstheme="minorHAnsi"/>
          <w:bCs/>
        </w:rPr>
      </w:pPr>
      <w:r w:rsidRPr="000B0AF4">
        <w:rPr>
          <w:rFonts w:eastAsia="Times New Roman" w:cstheme="minorHAnsi"/>
          <w:bCs/>
        </w:rPr>
        <w:t>Main responsibilities</w:t>
      </w:r>
    </w:p>
    <w:p w14:paraId="4C2F69CE" w14:textId="40861A9E" w:rsidR="00DA4025" w:rsidRDefault="00DA4025" w:rsidP="00DA4025">
      <w:pPr>
        <w:pStyle w:val="ListParagraph"/>
        <w:numPr>
          <w:ilvl w:val="0"/>
          <w:numId w:val="23"/>
        </w:numPr>
        <w:spacing w:before="0" w:after="0"/>
        <w:contextualSpacing w:val="0"/>
      </w:pPr>
      <w:r>
        <w:t>With the Exams Officer, check the day, date, time, subject, unit/component, and tier of entry, for each set of papers, if appropriate, immediately before a question paper packet is opened. (Second Pair of Eyes check)</w:t>
      </w:r>
    </w:p>
    <w:p w14:paraId="198C1C63" w14:textId="29595529" w:rsidR="00DA4025" w:rsidRPr="00DA4025" w:rsidRDefault="00DA4025" w:rsidP="00DA4025">
      <w:pPr>
        <w:pStyle w:val="ListParagraph"/>
        <w:numPr>
          <w:ilvl w:val="0"/>
          <w:numId w:val="23"/>
        </w:numPr>
        <w:spacing w:before="0" w:after="0"/>
        <w:contextualSpacing w:val="0"/>
      </w:pPr>
      <w:r>
        <w:t xml:space="preserve">Facilitate access arrangements for candidates, for example as a reader, scribe, etc (full training will be provided) </w:t>
      </w:r>
    </w:p>
    <w:p w14:paraId="7B7279EA" w14:textId="458C763F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rFonts w:eastAsiaTheme="minorEastAsia"/>
          <w:bCs/>
          <w:u w:val="none"/>
        </w:rPr>
      </w:pPr>
      <w:r w:rsidRPr="000B0AF4">
        <w:rPr>
          <w:b w:val="0"/>
          <w:u w:val="none"/>
        </w:rPr>
        <w:t>To assist in the setting up of examination rooms</w:t>
      </w:r>
    </w:p>
    <w:p w14:paraId="03898E0C" w14:textId="7359D6DA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 xml:space="preserve">To ensure all candidates receive appropriate examination question papers and </w:t>
      </w:r>
      <w:r w:rsidR="0821D59C" w:rsidRPr="000B0AF4">
        <w:rPr>
          <w:b w:val="0"/>
          <w:u w:val="none"/>
        </w:rPr>
        <w:t>answer paper</w:t>
      </w:r>
    </w:p>
    <w:p w14:paraId="04AE8CAE" w14:textId="64C8BB73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be aware of any needs that candidates may have during an examination</w:t>
      </w:r>
    </w:p>
    <w:p w14:paraId="03866DCC" w14:textId="44C7730E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ensure answer scripts are collected in, put into the correct order as per the attendance register and are supervised as required until they are delivered to the exam's office</w:t>
      </w:r>
    </w:p>
    <w:p w14:paraId="70366377" w14:textId="6488DE12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ensure candidates obey the regulations of an examination room as laid out in the examination guidelines</w:t>
      </w:r>
    </w:p>
    <w:p w14:paraId="76290433" w14:textId="29AB96E2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maintain security and confidentiality</w:t>
      </w:r>
    </w:p>
    <w:p w14:paraId="29E2B2DD" w14:textId="7300ECC5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record attendance on the official examination registers and ensure it has been fully and correctly completed</w:t>
      </w:r>
    </w:p>
    <w:p w14:paraId="0B63A27F" w14:textId="07647831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ensure no inappropriate items are brought into the examination hall, such as mobile phones, personal stereos, revision notes or other paperwork unless told otherwise</w:t>
      </w:r>
    </w:p>
    <w:p w14:paraId="6FA1C737" w14:textId="26DAECFF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Ensure all candidates are aware of the pre-exam start information and of any erratum notice that may affect them</w:t>
      </w:r>
    </w:p>
    <w:p w14:paraId="63F33653" w14:textId="48824BBA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ensure there is no talking or disruption for the candidates once an examination has begun</w:t>
      </w:r>
    </w:p>
    <w:p w14:paraId="1924BFD7" w14:textId="39A1C465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 xml:space="preserve">To ensure that invigilators DO NOT help candidates in any way with the question paper </w:t>
      </w:r>
    </w:p>
    <w:p w14:paraId="1C0F3FE7" w14:textId="77777777" w:rsidR="00716F0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complete and sign an Incident Log for each exam</w:t>
      </w:r>
    </w:p>
    <w:p w14:paraId="0B87DEE5" w14:textId="78DB9C7C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lastRenderedPageBreak/>
        <w:t>To sign the centre’s confidentiality declaration</w:t>
      </w:r>
    </w:p>
    <w:p w14:paraId="518AA95D" w14:textId="481C4817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 xml:space="preserve">To attend at least 1 paid refresher training session every </w:t>
      </w:r>
      <w:r w:rsidR="00716F0D" w:rsidRPr="000B0AF4">
        <w:rPr>
          <w:b w:val="0"/>
          <w:u w:val="none"/>
        </w:rPr>
        <w:t>year or</w:t>
      </w:r>
      <w:r w:rsidRPr="000B0AF4">
        <w:rPr>
          <w:b w:val="0"/>
          <w:u w:val="none"/>
        </w:rPr>
        <w:t xml:space="preserve"> as requested by the examinations officer</w:t>
      </w:r>
    </w:p>
    <w:p w14:paraId="7B75233C" w14:textId="206F4D29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assist in other activities as may reasonably be requested by the centre from time to time</w:t>
      </w:r>
    </w:p>
    <w:p w14:paraId="28D63221" w14:textId="77777777" w:rsidR="007949A7" w:rsidRPr="000B0AF4" w:rsidRDefault="007949A7" w:rsidP="00CE3D3A">
      <w:pPr>
        <w:pStyle w:val="Bullet"/>
        <w:numPr>
          <w:ilvl w:val="0"/>
          <w:numId w:val="0"/>
        </w:numPr>
        <w:ind w:left="714"/>
      </w:pPr>
    </w:p>
    <w:p w14:paraId="60E23C07" w14:textId="77777777" w:rsidR="007949A7" w:rsidRPr="000B0AF4" w:rsidRDefault="007949A7" w:rsidP="007949A7">
      <w:pPr>
        <w:pStyle w:val="Bullet"/>
        <w:numPr>
          <w:ilvl w:val="0"/>
          <w:numId w:val="0"/>
        </w:numPr>
        <w:ind w:left="714"/>
      </w:pPr>
    </w:p>
    <w:p w14:paraId="59C17783" w14:textId="72721E28" w:rsidR="00D54551" w:rsidRPr="000B0AF4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i/>
          <w:color w:val="306E73"/>
          <w:sz w:val="32"/>
          <w:szCs w:val="32"/>
        </w:rPr>
      </w:pPr>
      <w:r w:rsidRPr="000B0AF4">
        <w:rPr>
          <w:i/>
        </w:rPr>
        <w:t>Person Specification</w:t>
      </w:r>
      <w:r w:rsidR="0043361F" w:rsidRPr="000B0AF4">
        <w:rPr>
          <w:i/>
        </w:rPr>
        <w:t xml:space="preserve"> follows below.</w:t>
      </w:r>
    </w:p>
    <w:p w14:paraId="7FCE39DC" w14:textId="7AEFBA0D" w:rsidR="00806EE9" w:rsidRPr="000B0AF4" w:rsidRDefault="00DA4F08" w:rsidP="00DA4F08">
      <w:pPr>
        <w:pStyle w:val="Heading1"/>
      </w:pPr>
      <w:r w:rsidRPr="000B0AF4">
        <w:t>Person Specification</w:t>
      </w:r>
    </w:p>
    <w:p w14:paraId="3FA51DD8" w14:textId="573285FC" w:rsidR="6F53C721" w:rsidRPr="000B0AF4" w:rsidRDefault="6F53C721" w:rsidP="58E15A88">
      <w:r w:rsidRPr="000B0AF4">
        <w:t xml:space="preserve">Exams Invigilator </w:t>
      </w:r>
    </w:p>
    <w:p w14:paraId="6F1884FC" w14:textId="77777777" w:rsidR="00DA4F08" w:rsidRPr="000B0AF4" w:rsidRDefault="00DA4F08" w:rsidP="00DA4F0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559"/>
      </w:tblGrid>
      <w:tr w:rsidR="00DA4F08" w:rsidRPr="000B0AF4" w14:paraId="34626B84" w14:textId="77777777" w:rsidTr="158D351A">
        <w:tc>
          <w:tcPr>
            <w:tcW w:w="5211" w:type="dxa"/>
          </w:tcPr>
          <w:p w14:paraId="1AB2B1FB" w14:textId="77777777" w:rsidR="00DA4F08" w:rsidRPr="000B0AF4" w:rsidRDefault="00DA4F08" w:rsidP="00C01728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</w:tcPr>
          <w:p w14:paraId="5462BC87" w14:textId="77777777" w:rsidR="00DA4F08" w:rsidRPr="000B0AF4" w:rsidRDefault="00DA4F08" w:rsidP="00C0172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Essential</w:t>
            </w:r>
          </w:p>
        </w:tc>
        <w:tc>
          <w:tcPr>
            <w:tcW w:w="1276" w:type="dxa"/>
          </w:tcPr>
          <w:p w14:paraId="6AE778C8" w14:textId="77777777" w:rsidR="00DA4F08" w:rsidRPr="000B0AF4" w:rsidRDefault="00DA4F08" w:rsidP="00C0172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Desirable</w:t>
            </w:r>
          </w:p>
        </w:tc>
        <w:tc>
          <w:tcPr>
            <w:tcW w:w="1559" w:type="dxa"/>
          </w:tcPr>
          <w:p w14:paraId="4D118685" w14:textId="77777777" w:rsidR="00DA4F08" w:rsidRPr="000B0AF4" w:rsidRDefault="00DA4F08" w:rsidP="00C0172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Assessment</w:t>
            </w:r>
          </w:p>
        </w:tc>
      </w:tr>
      <w:tr w:rsidR="00DA4F08" w:rsidRPr="000B0AF4" w14:paraId="6D281DCE" w14:textId="77777777" w:rsidTr="158D351A">
        <w:tc>
          <w:tcPr>
            <w:tcW w:w="9322" w:type="dxa"/>
            <w:gridSpan w:val="4"/>
          </w:tcPr>
          <w:p w14:paraId="3EC38091" w14:textId="77777777" w:rsidR="00DA4F08" w:rsidRPr="000B0AF4" w:rsidRDefault="00DA4F08" w:rsidP="00C01728">
            <w:pPr>
              <w:spacing w:after="0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Qualifications</w:t>
            </w:r>
          </w:p>
        </w:tc>
      </w:tr>
      <w:tr w:rsidR="00DA4F08" w:rsidRPr="000B0AF4" w14:paraId="6866ABD3" w14:textId="77777777" w:rsidTr="158D351A">
        <w:tc>
          <w:tcPr>
            <w:tcW w:w="5211" w:type="dxa"/>
          </w:tcPr>
          <w:p w14:paraId="370C4D97" w14:textId="295AE42B" w:rsidR="00DA4F08" w:rsidRPr="000B0AF4" w:rsidRDefault="007C64FC" w:rsidP="007C64FC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>Good qualifications at GCSE (or higher) including C/4 in English and Maths</w:t>
            </w:r>
          </w:p>
        </w:tc>
        <w:tc>
          <w:tcPr>
            <w:tcW w:w="1276" w:type="dxa"/>
            <w:vAlign w:val="center"/>
          </w:tcPr>
          <w:p w14:paraId="6E09671B" w14:textId="5797A510" w:rsidR="00DA4F08" w:rsidRPr="000B0AF4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79C55B0F" w14:textId="6FA43B24" w:rsidR="00DA4F08" w:rsidRPr="000B0AF4" w:rsidRDefault="00111C72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23435027" w14:textId="77777777" w:rsidR="00DA4F08" w:rsidRPr="000B0AF4" w:rsidRDefault="00DA4F08" w:rsidP="00C0172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Application</w:t>
            </w:r>
          </w:p>
        </w:tc>
      </w:tr>
      <w:tr w:rsidR="00783752" w:rsidRPr="000B0AF4" w14:paraId="74287E66" w14:textId="77777777" w:rsidTr="158D351A">
        <w:tc>
          <w:tcPr>
            <w:tcW w:w="5211" w:type="dxa"/>
          </w:tcPr>
          <w:p w14:paraId="568A50DF" w14:textId="7910C327" w:rsidR="00783752" w:rsidRPr="000B0AF4" w:rsidRDefault="00783752" w:rsidP="00305DDB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>Willingness to learn</w:t>
            </w:r>
          </w:p>
        </w:tc>
        <w:tc>
          <w:tcPr>
            <w:tcW w:w="1276" w:type="dxa"/>
            <w:vAlign w:val="center"/>
          </w:tcPr>
          <w:p w14:paraId="134D58C0" w14:textId="21030C64" w:rsidR="00783752" w:rsidRPr="000B0AF4" w:rsidRDefault="00216846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9527A25" w14:textId="379D1A34" w:rsidR="00783752" w:rsidRPr="000B0AF4" w:rsidRDefault="00783752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0C24A05B" w14:textId="46B15BF1" w:rsidR="00783752" w:rsidRPr="000B0AF4" w:rsidRDefault="00783752" w:rsidP="00C0172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Interview</w:t>
            </w:r>
          </w:p>
        </w:tc>
      </w:tr>
      <w:tr w:rsidR="00F845A4" w:rsidRPr="000B0AF4" w14:paraId="428EAD02" w14:textId="77777777" w:rsidTr="158D351A">
        <w:tc>
          <w:tcPr>
            <w:tcW w:w="5211" w:type="dxa"/>
          </w:tcPr>
          <w:p w14:paraId="0577C89F" w14:textId="06F7B3CE" w:rsidR="00F845A4" w:rsidRPr="000B0AF4" w:rsidRDefault="00F845A4" w:rsidP="00F845A4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Style w:val="normaltextrun"/>
                <w:rFonts w:ascii="Calibri" w:hAnsi="Calibri" w:cs="Calibri"/>
              </w:rPr>
              <w:t xml:space="preserve">Evidence of recent </w:t>
            </w:r>
            <w:r w:rsidR="003D1B9A">
              <w:rPr>
                <w:rStyle w:val="normaltextrun"/>
                <w:rFonts w:ascii="Calibri" w:hAnsi="Calibri" w:cs="Calibri"/>
              </w:rPr>
              <w:t xml:space="preserve">personal or </w:t>
            </w:r>
            <w:r w:rsidRPr="000B0AF4">
              <w:rPr>
                <w:rStyle w:val="normaltextrun"/>
                <w:rFonts w:ascii="Calibri" w:hAnsi="Calibri" w:cs="Calibri"/>
              </w:rPr>
              <w:t>professional development </w:t>
            </w:r>
            <w:r w:rsidRPr="000B0AF4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276" w:type="dxa"/>
            <w:vAlign w:val="center"/>
          </w:tcPr>
          <w:p w14:paraId="5F583FF2" w14:textId="7333ADB4" w:rsidR="00F845A4" w:rsidRPr="000B0AF4" w:rsidRDefault="00F845A4" w:rsidP="00F845A4">
            <w:pPr>
              <w:spacing w:after="0"/>
              <w:jc w:val="center"/>
              <w:rPr>
                <w:rFonts w:ascii="Wingdings" w:eastAsia="Wingdings" w:hAnsi="Wingdings" w:cstheme="minorHAnsi"/>
                <w:b/>
              </w:rPr>
            </w:pPr>
            <w:r w:rsidRPr="000B0AF4">
              <w:rPr>
                <w:rStyle w:val="normaltextrun"/>
                <w:rFonts w:ascii="Wingdings" w:hAnsi="Wingdings" w:cs="Segoe UI"/>
                <w:b/>
                <w:bCs/>
              </w:rPr>
              <w:t>ü</w:t>
            </w:r>
          </w:p>
        </w:tc>
        <w:tc>
          <w:tcPr>
            <w:tcW w:w="1276" w:type="dxa"/>
            <w:vAlign w:val="center"/>
          </w:tcPr>
          <w:p w14:paraId="579A0BFE" w14:textId="1BC0BB92" w:rsidR="00F845A4" w:rsidRPr="000B0AF4" w:rsidRDefault="00F845A4" w:rsidP="00F845A4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559" w:type="dxa"/>
          </w:tcPr>
          <w:p w14:paraId="4BCAEA63" w14:textId="4BE888D6" w:rsidR="00F845A4" w:rsidRPr="000B0AF4" w:rsidRDefault="00F845A4" w:rsidP="00F845A4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Style w:val="normaltextrun"/>
                <w:rFonts w:ascii="Calibri" w:hAnsi="Calibri" w:cs="Calibri"/>
                <w:b/>
                <w:bCs/>
              </w:rPr>
              <w:t>Application</w:t>
            </w:r>
            <w:r w:rsidRPr="000B0AF4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A4F08" w:rsidRPr="000B0AF4" w14:paraId="37793EDF" w14:textId="77777777" w:rsidTr="158D351A">
        <w:tc>
          <w:tcPr>
            <w:tcW w:w="9322" w:type="dxa"/>
            <w:gridSpan w:val="4"/>
          </w:tcPr>
          <w:p w14:paraId="0A88A6F2" w14:textId="77777777" w:rsidR="00DA4F08" w:rsidRPr="000B0AF4" w:rsidRDefault="00DA4F08" w:rsidP="00C01728">
            <w:pPr>
              <w:spacing w:after="0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Experience</w:t>
            </w:r>
          </w:p>
        </w:tc>
      </w:tr>
      <w:tr w:rsidR="00E6734D" w:rsidRPr="000B0AF4" w14:paraId="79CD405A" w14:textId="77777777" w:rsidTr="158D351A">
        <w:tc>
          <w:tcPr>
            <w:tcW w:w="5211" w:type="dxa"/>
          </w:tcPr>
          <w:p w14:paraId="6CAF128C" w14:textId="3ADAB3E2" w:rsidR="00E6734D" w:rsidRPr="000B0AF4" w:rsidRDefault="00783752" w:rsidP="00E6734D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 xml:space="preserve">Experience of </w:t>
            </w:r>
            <w:r w:rsidR="00BB6829" w:rsidRPr="000B0AF4">
              <w:rPr>
                <w:rFonts w:eastAsia="Calibri" w:cstheme="minorHAnsi"/>
              </w:rPr>
              <w:t xml:space="preserve">working in a </w:t>
            </w:r>
            <w:r w:rsidR="007D1EFC">
              <w:rPr>
                <w:rFonts w:eastAsia="Calibri" w:cstheme="minorHAnsi"/>
              </w:rPr>
              <w:t xml:space="preserve">similar </w:t>
            </w:r>
            <w:r w:rsidR="00BB6829" w:rsidRPr="000B0AF4">
              <w:rPr>
                <w:rFonts w:eastAsia="Calibri" w:cstheme="minorHAnsi"/>
              </w:rPr>
              <w:t>role</w:t>
            </w:r>
            <w:r w:rsidR="00412415" w:rsidRPr="000B0AF4">
              <w:rPr>
                <w:rFonts w:eastAsia="Calibri" w:cstheme="minorHAnsi"/>
              </w:rPr>
              <w:t xml:space="preserve">, or within a school </w:t>
            </w:r>
            <w:r w:rsidR="0094128B" w:rsidRPr="000B0AF4">
              <w:rPr>
                <w:rFonts w:eastAsia="Calibri" w:cstheme="minorHAnsi"/>
              </w:rPr>
              <w:t>environment</w:t>
            </w:r>
          </w:p>
        </w:tc>
        <w:tc>
          <w:tcPr>
            <w:tcW w:w="1276" w:type="dxa"/>
            <w:vAlign w:val="center"/>
          </w:tcPr>
          <w:p w14:paraId="13676DFD" w14:textId="4BF73298" w:rsidR="00E6734D" w:rsidRPr="000B0AF4" w:rsidRDefault="00E6734D" w:rsidP="1EB01592">
            <w:pPr>
              <w:spacing w:after="0"/>
              <w:jc w:val="center"/>
              <w:rPr>
                <w:rFonts w:ascii="Wingdings" w:eastAsia="Wingdings" w:hAnsi="Wingdings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0083735" w14:textId="24B4D889" w:rsidR="00E6734D" w:rsidRPr="000B0AF4" w:rsidRDefault="55077C6F" w:rsidP="1EB01592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0B0AF4">
              <w:rPr>
                <w:rFonts w:ascii="Wingdings" w:eastAsia="Wingdings" w:hAnsi="Wingdings"/>
                <w:b/>
                <w:bCs/>
              </w:rPr>
              <w:t>ü</w:t>
            </w:r>
          </w:p>
          <w:p w14:paraId="01F33065" w14:textId="68FC3205" w:rsidR="00E6734D" w:rsidRPr="000B0AF4" w:rsidRDefault="00E6734D" w:rsidP="1EB01592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944FFB" w14:textId="60136C45" w:rsidR="00E6734D" w:rsidRPr="000B0AF4" w:rsidRDefault="00E33197" w:rsidP="00E6734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Application</w:t>
            </w:r>
          </w:p>
        </w:tc>
      </w:tr>
      <w:tr w:rsidR="00366E66" w:rsidRPr="000B0AF4" w14:paraId="172B6D52" w14:textId="77777777" w:rsidTr="158D351A">
        <w:tc>
          <w:tcPr>
            <w:tcW w:w="5211" w:type="dxa"/>
          </w:tcPr>
          <w:p w14:paraId="07F2C194" w14:textId="617274A5" w:rsidR="00366E66" w:rsidRPr="000B0AF4" w:rsidRDefault="00E33197" w:rsidP="00E33197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 xml:space="preserve">Evidence of </w:t>
            </w:r>
            <w:r w:rsidR="00BB6829" w:rsidRPr="000B0AF4">
              <w:rPr>
                <w:rFonts w:eastAsia="Calibri" w:cstheme="minorHAnsi"/>
              </w:rPr>
              <w:t>successful team working</w:t>
            </w:r>
          </w:p>
        </w:tc>
        <w:tc>
          <w:tcPr>
            <w:tcW w:w="1276" w:type="dxa"/>
            <w:vAlign w:val="center"/>
          </w:tcPr>
          <w:p w14:paraId="06F8F64E" w14:textId="19D3EF1E" w:rsidR="00366E66" w:rsidRPr="000B0AF4" w:rsidRDefault="0094128B" w:rsidP="00366E66">
            <w:pPr>
              <w:spacing w:after="0"/>
              <w:jc w:val="center"/>
              <w:rPr>
                <w:rFonts w:eastAsia="Calibri" w:cstheme="minorHAnsi"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80DAFE8" w14:textId="72CC11CE" w:rsidR="00366E66" w:rsidRPr="000B0AF4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221924" w14:textId="77777777" w:rsidR="00366E66" w:rsidRPr="000B0AF4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7C708C" w:rsidRPr="000B0AF4" w14:paraId="3383171F" w14:textId="77777777" w:rsidTr="158D351A">
        <w:tc>
          <w:tcPr>
            <w:tcW w:w="9322" w:type="dxa"/>
            <w:gridSpan w:val="4"/>
          </w:tcPr>
          <w:p w14:paraId="65C4371C" w14:textId="24638C75" w:rsidR="007C708C" w:rsidRPr="000B0AF4" w:rsidRDefault="007C708C" w:rsidP="007C708C">
            <w:pPr>
              <w:spacing w:after="0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 xml:space="preserve">Knowledge and </w:t>
            </w:r>
            <w:r w:rsidR="00412415" w:rsidRPr="000B0AF4">
              <w:rPr>
                <w:rFonts w:eastAsia="Calibri" w:cstheme="minorHAnsi"/>
                <w:b/>
              </w:rPr>
              <w:t>understanding</w:t>
            </w:r>
          </w:p>
        </w:tc>
      </w:tr>
      <w:tr w:rsidR="007C708C" w:rsidRPr="000B0AF4" w14:paraId="6E86E5CF" w14:textId="77777777" w:rsidTr="158D351A">
        <w:tc>
          <w:tcPr>
            <w:tcW w:w="5211" w:type="dxa"/>
          </w:tcPr>
          <w:p w14:paraId="2C2669BD" w14:textId="55B4A82B" w:rsidR="007C708C" w:rsidRPr="000B0AF4" w:rsidRDefault="007C708C" w:rsidP="007C708C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>A knowledge and commitment to safeguarding and promoting the wellbeing of children and young people</w:t>
            </w:r>
          </w:p>
        </w:tc>
        <w:tc>
          <w:tcPr>
            <w:tcW w:w="1276" w:type="dxa"/>
            <w:vAlign w:val="center"/>
          </w:tcPr>
          <w:p w14:paraId="58B33ACB" w14:textId="2FFFC4A6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6EE3745B" w14:textId="77777777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6F3B581" w14:textId="0D16E3CB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Interview</w:t>
            </w:r>
          </w:p>
        </w:tc>
      </w:tr>
      <w:tr w:rsidR="007C708C" w:rsidRPr="000B0AF4" w14:paraId="6A9F9C78" w14:textId="77777777" w:rsidTr="158D351A">
        <w:tc>
          <w:tcPr>
            <w:tcW w:w="9322" w:type="dxa"/>
            <w:gridSpan w:val="4"/>
          </w:tcPr>
          <w:p w14:paraId="3EAF6AC3" w14:textId="77777777" w:rsidR="007C708C" w:rsidRPr="000B0AF4" w:rsidRDefault="007C708C" w:rsidP="007C708C">
            <w:pPr>
              <w:spacing w:after="0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Personal Qualities</w:t>
            </w:r>
          </w:p>
        </w:tc>
      </w:tr>
      <w:tr w:rsidR="007C708C" w:rsidRPr="000B0AF4" w14:paraId="6A17905C" w14:textId="77777777" w:rsidTr="158D351A">
        <w:tc>
          <w:tcPr>
            <w:tcW w:w="5211" w:type="dxa"/>
          </w:tcPr>
          <w:p w14:paraId="08429B70" w14:textId="12DEBE71" w:rsidR="007C708C" w:rsidRPr="000B0AF4" w:rsidRDefault="007C708C" w:rsidP="007C708C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>Effective listening, verbal and written communication skills</w:t>
            </w:r>
          </w:p>
        </w:tc>
        <w:tc>
          <w:tcPr>
            <w:tcW w:w="1276" w:type="dxa"/>
            <w:vAlign w:val="center"/>
          </w:tcPr>
          <w:p w14:paraId="7E51C41E" w14:textId="05D3C003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21DDA817" w14:textId="77777777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F863121" w14:textId="4CEA8E79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Interview</w:t>
            </w:r>
          </w:p>
        </w:tc>
      </w:tr>
      <w:tr w:rsidR="007C708C" w:rsidRPr="000B0AF4" w14:paraId="3648637F" w14:textId="77777777" w:rsidTr="158D351A">
        <w:tc>
          <w:tcPr>
            <w:tcW w:w="5211" w:type="dxa"/>
          </w:tcPr>
          <w:p w14:paraId="2509FD4E" w14:textId="43867E90" w:rsidR="007C708C" w:rsidRPr="000B0AF4" w:rsidRDefault="007C708C" w:rsidP="007C708C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>Good organisational skills – able to prioritise own workload</w:t>
            </w:r>
          </w:p>
        </w:tc>
        <w:tc>
          <w:tcPr>
            <w:tcW w:w="1276" w:type="dxa"/>
            <w:vAlign w:val="center"/>
          </w:tcPr>
          <w:p w14:paraId="0B4751B0" w14:textId="595517AE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4A1570D4" w14:textId="77777777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86498D8" w14:textId="250CEF29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Interview</w:t>
            </w:r>
          </w:p>
        </w:tc>
      </w:tr>
      <w:tr w:rsidR="007C708C" w:rsidRPr="000B0AF4" w14:paraId="3A31EA84" w14:textId="77777777" w:rsidTr="158D351A">
        <w:tc>
          <w:tcPr>
            <w:tcW w:w="5211" w:type="dxa"/>
          </w:tcPr>
          <w:p w14:paraId="6A54D58C" w14:textId="669719C1" w:rsidR="007C708C" w:rsidRPr="000B0AF4" w:rsidRDefault="007C708C" w:rsidP="007C708C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>Able to analyse situations and possible outcomes to establish the most effective course of action</w:t>
            </w:r>
          </w:p>
        </w:tc>
        <w:tc>
          <w:tcPr>
            <w:tcW w:w="1276" w:type="dxa"/>
            <w:vAlign w:val="center"/>
          </w:tcPr>
          <w:p w14:paraId="53914309" w14:textId="76FD0104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06C58EAF" w14:textId="77777777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B8FE430" w14:textId="1A361689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Interview</w:t>
            </w:r>
          </w:p>
        </w:tc>
      </w:tr>
      <w:tr w:rsidR="007C708C" w:rsidRPr="000B0AF4" w14:paraId="6EB3F120" w14:textId="77777777" w:rsidTr="158D351A">
        <w:tc>
          <w:tcPr>
            <w:tcW w:w="5211" w:type="dxa"/>
          </w:tcPr>
          <w:p w14:paraId="27FEA511" w14:textId="46208498" w:rsidR="007C708C" w:rsidRPr="000B0AF4" w:rsidRDefault="007C708C" w:rsidP="007C708C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 xml:space="preserve">Hardworking, </w:t>
            </w:r>
            <w:r w:rsidR="006B0804" w:rsidRPr="000B0AF4">
              <w:rPr>
                <w:rFonts w:eastAsia="Calibri" w:cstheme="minorHAnsi"/>
              </w:rPr>
              <w:t xml:space="preserve">flexible approach, </w:t>
            </w:r>
            <w:r w:rsidRPr="000B0AF4">
              <w:rPr>
                <w:rFonts w:eastAsia="Calibri" w:cstheme="minorHAnsi"/>
              </w:rPr>
              <w:t>committed and punctual</w:t>
            </w:r>
          </w:p>
        </w:tc>
        <w:tc>
          <w:tcPr>
            <w:tcW w:w="1276" w:type="dxa"/>
            <w:vAlign w:val="center"/>
          </w:tcPr>
          <w:p w14:paraId="6F0F5238" w14:textId="72FBAC7B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39D20E67" w14:textId="77777777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12B2C172" w14:textId="5FCE1060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Interview</w:t>
            </w:r>
          </w:p>
        </w:tc>
      </w:tr>
      <w:tr w:rsidR="007C708C" w:rsidRPr="000B0AF4" w14:paraId="63CA52AE" w14:textId="77777777" w:rsidTr="158D351A">
        <w:tc>
          <w:tcPr>
            <w:tcW w:w="5211" w:type="dxa"/>
          </w:tcPr>
          <w:p w14:paraId="08365A1B" w14:textId="533E4A18" w:rsidR="007C708C" w:rsidRPr="000B0AF4" w:rsidRDefault="007C708C" w:rsidP="007C708C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>Ability to form and maintain appropriate personal boundaries with children and young people in line with the academy Safeguarding and Child protection policy and the Staff Code of Conduct policy.</w:t>
            </w:r>
          </w:p>
        </w:tc>
        <w:tc>
          <w:tcPr>
            <w:tcW w:w="1276" w:type="dxa"/>
            <w:vAlign w:val="center"/>
          </w:tcPr>
          <w:p w14:paraId="282B6C7E" w14:textId="2D2EF1C0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24EDD778" w14:textId="77777777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DF57540" w14:textId="77777777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  <w:p w14:paraId="079E6D0D" w14:textId="79DEA88F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Interview</w:t>
            </w:r>
          </w:p>
        </w:tc>
      </w:tr>
    </w:tbl>
    <w:p w14:paraId="5DA338F6" w14:textId="77777777" w:rsidR="00DA4F08" w:rsidRPr="000B0AF4" w:rsidRDefault="00DA4F08" w:rsidP="00DA4F08"/>
    <w:p w14:paraId="268C2CD4" w14:textId="619E2A66" w:rsidR="00806EE9" w:rsidRPr="000B0AF4" w:rsidRDefault="00806EE9" w:rsidP="00806EE9"/>
    <w:sectPr w:rsidR="00806EE9" w:rsidRPr="000B0AF4" w:rsidSect="005E3E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CEB14" w14:textId="77777777" w:rsidR="001A763D" w:rsidRDefault="001A763D" w:rsidP="00806EE9">
      <w:pPr>
        <w:spacing w:after="0"/>
      </w:pPr>
      <w:r>
        <w:separator/>
      </w:r>
    </w:p>
  </w:endnote>
  <w:endnote w:type="continuationSeparator" w:id="0">
    <w:p w14:paraId="11897092" w14:textId="77777777" w:rsidR="001A763D" w:rsidRDefault="001A763D" w:rsidP="00806EE9">
      <w:pPr>
        <w:spacing w:after="0"/>
      </w:pPr>
      <w:r>
        <w:continuationSeparator/>
      </w:r>
    </w:p>
  </w:endnote>
  <w:endnote w:type="continuationNotice" w:id="1">
    <w:p w14:paraId="64B753D5" w14:textId="77777777" w:rsidR="001A763D" w:rsidRDefault="001A763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98F0" w14:textId="77777777" w:rsidR="00E129FD" w:rsidRDefault="00E1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17059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46028E" w14:textId="4971507C" w:rsidR="00806EE9" w:rsidRDefault="00806EE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46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466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DCFAE5" w14:textId="3F2C3AD3" w:rsidR="00806EE9" w:rsidRDefault="00806EE9" w:rsidP="00806EE9">
    <w:pPr>
      <w:pStyle w:val="Footer"/>
      <w:tabs>
        <w:tab w:val="clear" w:pos="4513"/>
        <w:tab w:val="clear" w:pos="9026"/>
        <w:tab w:val="left" w:pos="2325"/>
      </w:tabs>
    </w:pPr>
    <w:r>
      <w:t xml:space="preserve">Version </w:t>
    </w:r>
    <w:r w:rsidR="00E129FD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78FF" w14:textId="77777777" w:rsidR="00E129FD" w:rsidRDefault="00E1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365B5" w14:textId="77777777" w:rsidR="001A763D" w:rsidRDefault="001A763D" w:rsidP="00806EE9">
      <w:pPr>
        <w:spacing w:after="0"/>
      </w:pPr>
      <w:r>
        <w:separator/>
      </w:r>
    </w:p>
  </w:footnote>
  <w:footnote w:type="continuationSeparator" w:id="0">
    <w:p w14:paraId="4E893079" w14:textId="77777777" w:rsidR="001A763D" w:rsidRDefault="001A763D" w:rsidP="00806EE9">
      <w:pPr>
        <w:spacing w:after="0"/>
      </w:pPr>
      <w:r>
        <w:continuationSeparator/>
      </w:r>
    </w:p>
  </w:footnote>
  <w:footnote w:type="continuationNotice" w:id="1">
    <w:p w14:paraId="4F70D2D1" w14:textId="77777777" w:rsidR="001A763D" w:rsidRDefault="001A763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FED1E" w14:textId="77777777" w:rsidR="00E129FD" w:rsidRDefault="00E1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B0B5" w14:textId="77777777" w:rsidR="00E129FD" w:rsidRDefault="00E1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3BC91" w14:textId="77777777" w:rsidR="00E129FD" w:rsidRDefault="00E12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34C6"/>
    <w:multiLevelType w:val="hybridMultilevel"/>
    <w:tmpl w:val="975E9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281A"/>
    <w:multiLevelType w:val="hybridMultilevel"/>
    <w:tmpl w:val="4C06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11CF"/>
    <w:multiLevelType w:val="hybridMultilevel"/>
    <w:tmpl w:val="A668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0828"/>
    <w:multiLevelType w:val="hybridMultilevel"/>
    <w:tmpl w:val="0EE823A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1B45102"/>
    <w:multiLevelType w:val="hybridMultilevel"/>
    <w:tmpl w:val="FA04F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91A6A"/>
    <w:multiLevelType w:val="hybridMultilevel"/>
    <w:tmpl w:val="30BC0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751D"/>
    <w:multiLevelType w:val="hybridMultilevel"/>
    <w:tmpl w:val="568E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B3648"/>
    <w:multiLevelType w:val="hybridMultilevel"/>
    <w:tmpl w:val="15966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7F05EE"/>
    <w:multiLevelType w:val="hybridMultilevel"/>
    <w:tmpl w:val="46661C7C"/>
    <w:lvl w:ilvl="0" w:tplc="2846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C8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2B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0B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21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84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24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A1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8F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86139"/>
    <w:multiLevelType w:val="hybridMultilevel"/>
    <w:tmpl w:val="298AEB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B83E22"/>
    <w:multiLevelType w:val="hybridMultilevel"/>
    <w:tmpl w:val="D324B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0540A"/>
    <w:multiLevelType w:val="hybridMultilevel"/>
    <w:tmpl w:val="7CD433F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0091F2C"/>
    <w:multiLevelType w:val="hybridMultilevel"/>
    <w:tmpl w:val="1E142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0C0524"/>
    <w:multiLevelType w:val="hybridMultilevel"/>
    <w:tmpl w:val="284AF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F7AC9"/>
    <w:multiLevelType w:val="hybridMultilevel"/>
    <w:tmpl w:val="86C81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EC1B63"/>
    <w:multiLevelType w:val="hybridMultilevel"/>
    <w:tmpl w:val="B5260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15FCE"/>
    <w:multiLevelType w:val="hybridMultilevel"/>
    <w:tmpl w:val="F3906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527F3D"/>
    <w:multiLevelType w:val="hybridMultilevel"/>
    <w:tmpl w:val="38DC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307462"/>
    <w:multiLevelType w:val="hybridMultilevel"/>
    <w:tmpl w:val="3E48D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65C2E"/>
    <w:multiLevelType w:val="hybridMultilevel"/>
    <w:tmpl w:val="25EE9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537C5"/>
    <w:multiLevelType w:val="hybridMultilevel"/>
    <w:tmpl w:val="D610A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1245F"/>
    <w:multiLevelType w:val="hybridMultilevel"/>
    <w:tmpl w:val="19CC1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C03A43"/>
    <w:multiLevelType w:val="hybridMultilevel"/>
    <w:tmpl w:val="BFB4FB7A"/>
    <w:lvl w:ilvl="0" w:tplc="FA5421A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12271">
    <w:abstractNumId w:val="9"/>
  </w:num>
  <w:num w:numId="2" w16cid:durableId="1769808870">
    <w:abstractNumId w:val="5"/>
  </w:num>
  <w:num w:numId="3" w16cid:durableId="1792435723">
    <w:abstractNumId w:val="3"/>
  </w:num>
  <w:num w:numId="4" w16cid:durableId="2096315054">
    <w:abstractNumId w:val="2"/>
  </w:num>
  <w:num w:numId="5" w16cid:durableId="260261917">
    <w:abstractNumId w:val="23"/>
  </w:num>
  <w:num w:numId="6" w16cid:durableId="1141965468">
    <w:abstractNumId w:val="8"/>
  </w:num>
  <w:num w:numId="7" w16cid:durableId="2072342458">
    <w:abstractNumId w:val="13"/>
  </w:num>
  <w:num w:numId="8" w16cid:durableId="1296368239">
    <w:abstractNumId w:val="15"/>
  </w:num>
  <w:num w:numId="9" w16cid:durableId="580528167">
    <w:abstractNumId w:val="18"/>
  </w:num>
  <w:num w:numId="10" w16cid:durableId="804547806">
    <w:abstractNumId w:val="17"/>
  </w:num>
  <w:num w:numId="11" w16cid:durableId="1012529">
    <w:abstractNumId w:val="22"/>
  </w:num>
  <w:num w:numId="12" w16cid:durableId="417871748">
    <w:abstractNumId w:val="12"/>
  </w:num>
  <w:num w:numId="13" w16cid:durableId="2138256756">
    <w:abstractNumId w:val="20"/>
  </w:num>
  <w:num w:numId="14" w16cid:durableId="1993556617">
    <w:abstractNumId w:val="4"/>
  </w:num>
  <w:num w:numId="15" w16cid:durableId="442193684">
    <w:abstractNumId w:val="11"/>
  </w:num>
  <w:num w:numId="16" w16cid:durableId="2139687938">
    <w:abstractNumId w:val="0"/>
  </w:num>
  <w:num w:numId="17" w16cid:durableId="1128164206">
    <w:abstractNumId w:val="7"/>
  </w:num>
  <w:num w:numId="18" w16cid:durableId="971449477">
    <w:abstractNumId w:val="1"/>
  </w:num>
  <w:num w:numId="19" w16cid:durableId="289482858">
    <w:abstractNumId w:val="19"/>
  </w:num>
  <w:num w:numId="20" w16cid:durableId="1906449350">
    <w:abstractNumId w:val="10"/>
  </w:num>
  <w:num w:numId="21" w16cid:durableId="640041196">
    <w:abstractNumId w:val="6"/>
  </w:num>
  <w:num w:numId="22" w16cid:durableId="388307435">
    <w:abstractNumId w:val="21"/>
  </w:num>
  <w:num w:numId="23" w16cid:durableId="1847211615">
    <w:abstractNumId w:val="14"/>
  </w:num>
  <w:num w:numId="24" w16cid:durableId="18512111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0E"/>
    <w:rsid w:val="000043AC"/>
    <w:rsid w:val="000051CF"/>
    <w:rsid w:val="00071475"/>
    <w:rsid w:val="00077CEA"/>
    <w:rsid w:val="00081DF6"/>
    <w:rsid w:val="000B0AF4"/>
    <w:rsid w:val="000C2BE4"/>
    <w:rsid w:val="000E0A2C"/>
    <w:rsid w:val="00111C72"/>
    <w:rsid w:val="00134300"/>
    <w:rsid w:val="00147B82"/>
    <w:rsid w:val="00147FE0"/>
    <w:rsid w:val="00156A6A"/>
    <w:rsid w:val="00175870"/>
    <w:rsid w:val="001A63D2"/>
    <w:rsid w:val="001A763D"/>
    <w:rsid w:val="001A7AA8"/>
    <w:rsid w:val="001D2418"/>
    <w:rsid w:val="001F3B20"/>
    <w:rsid w:val="002005F5"/>
    <w:rsid w:val="002076DC"/>
    <w:rsid w:val="002158E3"/>
    <w:rsid w:val="00216846"/>
    <w:rsid w:val="00216E24"/>
    <w:rsid w:val="002211DE"/>
    <w:rsid w:val="00250C97"/>
    <w:rsid w:val="00270426"/>
    <w:rsid w:val="0027091B"/>
    <w:rsid w:val="00270C46"/>
    <w:rsid w:val="00286ED2"/>
    <w:rsid w:val="002B23AB"/>
    <w:rsid w:val="00305DDB"/>
    <w:rsid w:val="00311420"/>
    <w:rsid w:val="003503AE"/>
    <w:rsid w:val="0035793C"/>
    <w:rsid w:val="00357CA7"/>
    <w:rsid w:val="00366E66"/>
    <w:rsid w:val="003724A4"/>
    <w:rsid w:val="00372EA8"/>
    <w:rsid w:val="0038554F"/>
    <w:rsid w:val="003A09FF"/>
    <w:rsid w:val="003A7BE8"/>
    <w:rsid w:val="003C2427"/>
    <w:rsid w:val="003C3A36"/>
    <w:rsid w:val="003C5717"/>
    <w:rsid w:val="003D1B9A"/>
    <w:rsid w:val="003D24D9"/>
    <w:rsid w:val="00405156"/>
    <w:rsid w:val="00410916"/>
    <w:rsid w:val="00412415"/>
    <w:rsid w:val="00423A93"/>
    <w:rsid w:val="0043361F"/>
    <w:rsid w:val="00434521"/>
    <w:rsid w:val="004362AE"/>
    <w:rsid w:val="004469D0"/>
    <w:rsid w:val="00457F29"/>
    <w:rsid w:val="00461D86"/>
    <w:rsid w:val="004B3C9A"/>
    <w:rsid w:val="004B67AA"/>
    <w:rsid w:val="004F01D4"/>
    <w:rsid w:val="005047ED"/>
    <w:rsid w:val="0053460F"/>
    <w:rsid w:val="00543D1F"/>
    <w:rsid w:val="005919AD"/>
    <w:rsid w:val="00595BDD"/>
    <w:rsid w:val="005967B7"/>
    <w:rsid w:val="005B315D"/>
    <w:rsid w:val="005B4E9D"/>
    <w:rsid w:val="005C483F"/>
    <w:rsid w:val="005D571A"/>
    <w:rsid w:val="005E3E23"/>
    <w:rsid w:val="005E6087"/>
    <w:rsid w:val="005E75B5"/>
    <w:rsid w:val="005F6E36"/>
    <w:rsid w:val="006015D7"/>
    <w:rsid w:val="006112D4"/>
    <w:rsid w:val="00623477"/>
    <w:rsid w:val="00642AF3"/>
    <w:rsid w:val="006476A1"/>
    <w:rsid w:val="0064771B"/>
    <w:rsid w:val="006538CE"/>
    <w:rsid w:val="00667237"/>
    <w:rsid w:val="00674B1B"/>
    <w:rsid w:val="006935F0"/>
    <w:rsid w:val="00693DC5"/>
    <w:rsid w:val="00693F44"/>
    <w:rsid w:val="00697C14"/>
    <w:rsid w:val="006A1776"/>
    <w:rsid w:val="006A5573"/>
    <w:rsid w:val="006A5BC2"/>
    <w:rsid w:val="006B0804"/>
    <w:rsid w:val="006E7DF0"/>
    <w:rsid w:val="00715285"/>
    <w:rsid w:val="00716F0D"/>
    <w:rsid w:val="00783752"/>
    <w:rsid w:val="007949A7"/>
    <w:rsid w:val="007971D5"/>
    <w:rsid w:val="007A1E84"/>
    <w:rsid w:val="007C4EBF"/>
    <w:rsid w:val="007C64FC"/>
    <w:rsid w:val="007C708C"/>
    <w:rsid w:val="007D1EFC"/>
    <w:rsid w:val="007F1E18"/>
    <w:rsid w:val="007F3F30"/>
    <w:rsid w:val="00806EE9"/>
    <w:rsid w:val="00814FBA"/>
    <w:rsid w:val="00825A26"/>
    <w:rsid w:val="0083088B"/>
    <w:rsid w:val="00854663"/>
    <w:rsid w:val="00864BD0"/>
    <w:rsid w:val="008868F1"/>
    <w:rsid w:val="00893CEA"/>
    <w:rsid w:val="008A4D20"/>
    <w:rsid w:val="008D27EC"/>
    <w:rsid w:val="008D3971"/>
    <w:rsid w:val="008D6750"/>
    <w:rsid w:val="008E77AC"/>
    <w:rsid w:val="008F53E9"/>
    <w:rsid w:val="009076D6"/>
    <w:rsid w:val="00923190"/>
    <w:rsid w:val="00924232"/>
    <w:rsid w:val="0094128B"/>
    <w:rsid w:val="009706DC"/>
    <w:rsid w:val="00975A2A"/>
    <w:rsid w:val="00977F6E"/>
    <w:rsid w:val="00985ED1"/>
    <w:rsid w:val="00996F59"/>
    <w:rsid w:val="009F7F27"/>
    <w:rsid w:val="00A16CDC"/>
    <w:rsid w:val="00A200DB"/>
    <w:rsid w:val="00A20E9A"/>
    <w:rsid w:val="00A31779"/>
    <w:rsid w:val="00A32D38"/>
    <w:rsid w:val="00A729D0"/>
    <w:rsid w:val="00A97355"/>
    <w:rsid w:val="00AA5067"/>
    <w:rsid w:val="00AD5D6B"/>
    <w:rsid w:val="00AF1C4F"/>
    <w:rsid w:val="00B2227A"/>
    <w:rsid w:val="00B225D1"/>
    <w:rsid w:val="00B444C4"/>
    <w:rsid w:val="00B64F63"/>
    <w:rsid w:val="00BB6829"/>
    <w:rsid w:val="00BC22F9"/>
    <w:rsid w:val="00BE29D9"/>
    <w:rsid w:val="00BE64A5"/>
    <w:rsid w:val="00BF12FC"/>
    <w:rsid w:val="00BF606B"/>
    <w:rsid w:val="00C01728"/>
    <w:rsid w:val="00C0363B"/>
    <w:rsid w:val="00C03735"/>
    <w:rsid w:val="00C108F7"/>
    <w:rsid w:val="00C125F0"/>
    <w:rsid w:val="00C3153A"/>
    <w:rsid w:val="00C3172C"/>
    <w:rsid w:val="00C329F0"/>
    <w:rsid w:val="00C47244"/>
    <w:rsid w:val="00C62DF9"/>
    <w:rsid w:val="00C65868"/>
    <w:rsid w:val="00CD3256"/>
    <w:rsid w:val="00CD412A"/>
    <w:rsid w:val="00CE3D3A"/>
    <w:rsid w:val="00CF0404"/>
    <w:rsid w:val="00CF4B14"/>
    <w:rsid w:val="00CF6FEE"/>
    <w:rsid w:val="00D12488"/>
    <w:rsid w:val="00D54551"/>
    <w:rsid w:val="00D72339"/>
    <w:rsid w:val="00D830BD"/>
    <w:rsid w:val="00D835A5"/>
    <w:rsid w:val="00DA0D34"/>
    <w:rsid w:val="00DA4025"/>
    <w:rsid w:val="00DA4455"/>
    <w:rsid w:val="00DA4F08"/>
    <w:rsid w:val="00DA6E58"/>
    <w:rsid w:val="00DB55E7"/>
    <w:rsid w:val="00DF0549"/>
    <w:rsid w:val="00DF3A8E"/>
    <w:rsid w:val="00E129FD"/>
    <w:rsid w:val="00E33197"/>
    <w:rsid w:val="00E53A57"/>
    <w:rsid w:val="00E63544"/>
    <w:rsid w:val="00E6734D"/>
    <w:rsid w:val="00E8101C"/>
    <w:rsid w:val="00E93F84"/>
    <w:rsid w:val="00E9470E"/>
    <w:rsid w:val="00EB291A"/>
    <w:rsid w:val="00EB5346"/>
    <w:rsid w:val="00EB5C24"/>
    <w:rsid w:val="00EF1F71"/>
    <w:rsid w:val="00F01B78"/>
    <w:rsid w:val="00F11608"/>
    <w:rsid w:val="00F3317E"/>
    <w:rsid w:val="00F3547D"/>
    <w:rsid w:val="00F75566"/>
    <w:rsid w:val="00F845A4"/>
    <w:rsid w:val="00FB2662"/>
    <w:rsid w:val="00FB77CF"/>
    <w:rsid w:val="00FC637D"/>
    <w:rsid w:val="00FD1062"/>
    <w:rsid w:val="00FE2B27"/>
    <w:rsid w:val="00FE620D"/>
    <w:rsid w:val="019BA556"/>
    <w:rsid w:val="01B5C558"/>
    <w:rsid w:val="023533C9"/>
    <w:rsid w:val="03ABBB16"/>
    <w:rsid w:val="0481CC0B"/>
    <w:rsid w:val="050FC508"/>
    <w:rsid w:val="07C6D7B9"/>
    <w:rsid w:val="07FCCE4D"/>
    <w:rsid w:val="0821D59C"/>
    <w:rsid w:val="0A6BF3C5"/>
    <w:rsid w:val="0A8655DA"/>
    <w:rsid w:val="0BA0EE06"/>
    <w:rsid w:val="0CADD956"/>
    <w:rsid w:val="0E9239C9"/>
    <w:rsid w:val="0FC23CBB"/>
    <w:rsid w:val="103884B0"/>
    <w:rsid w:val="122976C2"/>
    <w:rsid w:val="151D0AC9"/>
    <w:rsid w:val="158D351A"/>
    <w:rsid w:val="1600E5D5"/>
    <w:rsid w:val="192CA97B"/>
    <w:rsid w:val="1990B30B"/>
    <w:rsid w:val="19FD0A00"/>
    <w:rsid w:val="1B0F0462"/>
    <w:rsid w:val="1B35FA3B"/>
    <w:rsid w:val="1BC7F9BC"/>
    <w:rsid w:val="1BE9CF01"/>
    <w:rsid w:val="1EB01592"/>
    <w:rsid w:val="21EFD5B0"/>
    <w:rsid w:val="23905396"/>
    <w:rsid w:val="249A93DB"/>
    <w:rsid w:val="26024C16"/>
    <w:rsid w:val="29FA699F"/>
    <w:rsid w:val="2A4A6295"/>
    <w:rsid w:val="2AD02556"/>
    <w:rsid w:val="2E07C618"/>
    <w:rsid w:val="2E53FCC2"/>
    <w:rsid w:val="2F508BE1"/>
    <w:rsid w:val="319BA142"/>
    <w:rsid w:val="32ABB587"/>
    <w:rsid w:val="33382797"/>
    <w:rsid w:val="33DB1095"/>
    <w:rsid w:val="35B5E90F"/>
    <w:rsid w:val="365A71FD"/>
    <w:rsid w:val="3A81F707"/>
    <w:rsid w:val="3BE64005"/>
    <w:rsid w:val="3BFCD8AC"/>
    <w:rsid w:val="3C15E68C"/>
    <w:rsid w:val="3C39C40C"/>
    <w:rsid w:val="3F43A2F8"/>
    <w:rsid w:val="406F120C"/>
    <w:rsid w:val="40B871EE"/>
    <w:rsid w:val="4119842F"/>
    <w:rsid w:val="42B26E92"/>
    <w:rsid w:val="45A9F79C"/>
    <w:rsid w:val="4C91F72C"/>
    <w:rsid w:val="4EA79073"/>
    <w:rsid w:val="4F140517"/>
    <w:rsid w:val="4F57E625"/>
    <w:rsid w:val="4FBEA336"/>
    <w:rsid w:val="50C5D467"/>
    <w:rsid w:val="51203B9F"/>
    <w:rsid w:val="52C00F7C"/>
    <w:rsid w:val="540E2400"/>
    <w:rsid w:val="55077C6F"/>
    <w:rsid w:val="56CBC6AD"/>
    <w:rsid w:val="56F8F11F"/>
    <w:rsid w:val="58E15A88"/>
    <w:rsid w:val="59EB2C03"/>
    <w:rsid w:val="5B29C7A8"/>
    <w:rsid w:val="5BE18856"/>
    <w:rsid w:val="5BF026AE"/>
    <w:rsid w:val="5D7D58B7"/>
    <w:rsid w:val="5E07D63C"/>
    <w:rsid w:val="5E553700"/>
    <w:rsid w:val="5E639641"/>
    <w:rsid w:val="5EEC3E23"/>
    <w:rsid w:val="60D7DC46"/>
    <w:rsid w:val="623538C7"/>
    <w:rsid w:val="62B3170B"/>
    <w:rsid w:val="64730C8E"/>
    <w:rsid w:val="6548EDD0"/>
    <w:rsid w:val="669848E1"/>
    <w:rsid w:val="66B7E609"/>
    <w:rsid w:val="694959FA"/>
    <w:rsid w:val="6B0A0E90"/>
    <w:rsid w:val="6B5F8EAB"/>
    <w:rsid w:val="6B6E23E4"/>
    <w:rsid w:val="6B9F09A5"/>
    <w:rsid w:val="6C12C450"/>
    <w:rsid w:val="6E005D93"/>
    <w:rsid w:val="6F3814FB"/>
    <w:rsid w:val="6F53C721"/>
    <w:rsid w:val="70CAE235"/>
    <w:rsid w:val="70EB4751"/>
    <w:rsid w:val="716C93D6"/>
    <w:rsid w:val="71D2741C"/>
    <w:rsid w:val="72DB4635"/>
    <w:rsid w:val="742F59FC"/>
    <w:rsid w:val="76BEAF99"/>
    <w:rsid w:val="77478CF6"/>
    <w:rsid w:val="7C8FC805"/>
    <w:rsid w:val="7D23042F"/>
    <w:rsid w:val="7FC7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DA4AA"/>
  <w15:docId w15:val="{E4018BD7-13F1-436E-AE8C-9079B9F3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0E"/>
    <w:pPr>
      <w:spacing w:before="20" w:after="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E7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E9"/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E9"/>
    <w:rPr>
      <w:rFonts w:asciiTheme="majorHAnsi" w:eastAsiaTheme="majorEastAsia" w:hAnsiTheme="majorHAnsi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/>
      <w:contextualSpacing/>
    </w:pPr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E9"/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customStyle="1" w:styleId="Level1Numbering">
    <w:name w:val="Level 1 Numbering"/>
    <w:link w:val="Level1NumberingChar"/>
    <w:qFormat/>
    <w:rsid w:val="008E77AC"/>
    <w:pPr>
      <w:numPr>
        <w:numId w:val="2"/>
      </w:numPr>
      <w:spacing w:before="240" w:after="0"/>
      <w:ind w:left="357" w:hanging="357"/>
    </w:pPr>
    <w:rPr>
      <w:b/>
      <w:u w:val="single"/>
    </w:rPr>
  </w:style>
  <w:style w:type="paragraph" w:customStyle="1" w:styleId="Level2Numbering">
    <w:name w:val="Level 2 Numbering"/>
    <w:basedOn w:val="ListParagraph"/>
    <w:link w:val="Level2NumberingChar"/>
    <w:qFormat/>
    <w:rsid w:val="00286ED2"/>
    <w:pPr>
      <w:numPr>
        <w:ilvl w:val="1"/>
        <w:numId w:val="2"/>
      </w:numPr>
      <w:spacing w:before="40" w:after="40"/>
      <w:ind w:left="1134" w:hanging="573"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customStyle="1" w:styleId="Level1NumberingChar">
    <w:name w:val="Level 1 Numbering Char"/>
    <w:basedOn w:val="ListParagraphChar"/>
    <w:link w:val="Level1Numbering"/>
    <w:rsid w:val="008E77AC"/>
    <w:rPr>
      <w:b/>
      <w:u w:val="single"/>
    </w:rPr>
  </w:style>
  <w:style w:type="paragraph" w:customStyle="1" w:styleId="Level3numbering">
    <w:name w:val="Level 3 numbering"/>
    <w:link w:val="Level3numberingChar"/>
    <w:qFormat/>
    <w:rsid w:val="00286ED2"/>
    <w:pPr>
      <w:numPr>
        <w:ilvl w:val="2"/>
        <w:numId w:val="2"/>
      </w:numPr>
      <w:spacing w:after="0"/>
      <w:ind w:left="1985" w:hanging="851"/>
    </w:pPr>
  </w:style>
  <w:style w:type="character" w:customStyle="1" w:styleId="Level2NumberingChar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numberingChar">
    <w:name w:val="Level 3 numbering Char"/>
    <w:basedOn w:val="Level2NumberingChar"/>
    <w:link w:val="Level3numbering"/>
    <w:rsid w:val="00286ED2"/>
  </w:style>
  <w:style w:type="paragraph" w:customStyle="1" w:styleId="Bullet">
    <w:name w:val="Bullet"/>
    <w:basedOn w:val="Level1Numbering"/>
    <w:link w:val="BulletChar"/>
    <w:qFormat/>
    <w:rsid w:val="00E9470E"/>
    <w:pPr>
      <w:numPr>
        <w:numId w:val="5"/>
      </w:numPr>
      <w:spacing w:before="0" w:line="240" w:lineRule="auto"/>
      <w:ind w:left="714" w:hanging="357"/>
    </w:pPr>
    <w:rPr>
      <w:b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lletChar">
    <w:name w:val="Bullet Char"/>
    <w:basedOn w:val="Level1NumberingChar"/>
    <w:link w:val="Bullet"/>
    <w:rsid w:val="00E9470E"/>
    <w:rPr>
      <w:b w:val="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49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845A4"/>
  </w:style>
  <w:style w:type="character" w:customStyle="1" w:styleId="eop">
    <w:name w:val="eop"/>
    <w:basedOn w:val="DefaultParagraphFont"/>
    <w:rsid w:val="00F84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7" ma:contentTypeDescription="Create a new document." ma:contentTypeScope="" ma:versionID="37b026c2651fe5ea18630594886db8ee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a5ced120be5f983efc42b30c19abb547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5f9f5a-ad9f-4c16-b3cf-4dd3991b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5df7b-c8c1-42c4-bce8-1ff689b3abc4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2eb8-2b02-4553-9346-3feafc8ef78c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84B45-584A-402C-AEEF-4C63D9E83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d2eb8-2b02-4553-9346-3feafc8ef78c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E5D77-598E-4A24-BC17-3B10243D3B0B}">
  <ds:schemaRefs>
    <ds:schemaRef ds:uri="http://schemas.microsoft.com/office/2006/metadata/properties"/>
    <ds:schemaRef ds:uri="http://schemas.microsoft.com/office/infopath/2007/PartnerControls"/>
    <ds:schemaRef ds:uri="36dd2eb8-2b02-4553-9346-3feafc8ef78c"/>
    <ds:schemaRef ds:uri="fec5c98a-6fc8-4a06-b367-420d10c239c8"/>
  </ds:schemaRefs>
</ds:datastoreItem>
</file>

<file path=customXml/itemProps3.xml><?xml version="1.0" encoding="utf-8"?>
<ds:datastoreItem xmlns:ds="http://schemas.openxmlformats.org/officeDocument/2006/customXml" ds:itemID="{67006973-EB02-40BA-841B-EFBCE8106D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A31E3-7360-4846-8EF8-FD32D4E36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667</Words>
  <Characters>3803</Characters>
  <Application>Microsoft Office Word</Application>
  <DocSecurity>0</DocSecurity>
  <Lines>31</Lines>
  <Paragraphs>8</Paragraphs>
  <ScaleCrop>false</ScaleCrop>
  <Company>NEW COLLEGE SWINDON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Mathis</dc:creator>
  <cp:keywords/>
  <cp:lastModifiedBy>C Greenwood</cp:lastModifiedBy>
  <cp:revision>5</cp:revision>
  <cp:lastPrinted>2018-06-18T17:23:00Z</cp:lastPrinted>
  <dcterms:created xsi:type="dcterms:W3CDTF">2024-10-22T10:42:00Z</dcterms:created>
  <dcterms:modified xsi:type="dcterms:W3CDTF">2025-01-15T11:56:00Z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Order">
    <vt:r8>128100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