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uppressAutoHyphens w:val="1"/>
        <w:ind w:left="1440" w:right="719" w:hanging="1440"/>
        <w:jc w:val="center"/>
        <w:rPr>
          <w:rFonts w:ascii="Arial" w:cs="Arial" w:hAnsi="Arial" w:eastAsia="Arial"/>
          <w:b w:val="1"/>
          <w:bCs w:val="1"/>
          <w:spacing w:val="-2"/>
          <w:sz w:val="30"/>
          <w:szCs w:val="30"/>
          <w:u w:color="000000"/>
        </w:rPr>
      </w:pPr>
      <w:r>
        <w:rPr>
          <w:rFonts w:ascii="Arial" w:hAnsi="Arial"/>
          <w:b w:val="1"/>
          <w:bCs w:val="1"/>
          <w:spacing w:val="-2"/>
          <w:sz w:val="30"/>
          <w:szCs w:val="30"/>
          <w:u w:color="000000"/>
          <w:rtl w:val="0"/>
          <w:lang w:val="en-US"/>
        </w:rPr>
        <w:t xml:space="preserve">Arun Villages Federation </w:t>
      </w:r>
    </w:p>
    <w:p>
      <w:pPr>
        <w:pStyle w:val="Body A"/>
        <w:suppressAutoHyphens w:val="1"/>
        <w:ind w:left="1440" w:right="719" w:hanging="1440"/>
        <w:jc w:val="center"/>
        <w:rPr>
          <w:rFonts w:ascii="Arial" w:cs="Arial" w:hAnsi="Arial" w:eastAsia="Arial"/>
          <w:b w:val="1"/>
          <w:bCs w:val="1"/>
          <w:spacing w:val="-2"/>
          <w:sz w:val="30"/>
          <w:szCs w:val="30"/>
          <w:u w:color="000000"/>
        </w:rPr>
      </w:pPr>
      <w:r>
        <w:rPr>
          <w:rFonts w:ascii="Arial" w:hAnsi="Arial"/>
          <w:b w:val="1"/>
          <w:bCs w:val="1"/>
          <w:spacing w:val="-2"/>
          <w:sz w:val="30"/>
          <w:szCs w:val="30"/>
          <w:u w:color="000000"/>
          <w:rtl w:val="0"/>
          <w:lang w:val="en-US"/>
        </w:rPr>
        <w:t>Person Specification - Executive Headteacher (EHT)</w:t>
      </w:r>
    </w:p>
    <w:p>
      <w:pPr>
        <w:pStyle w:val="Body A"/>
        <w:suppressAutoHyphens w:val="1"/>
        <w:ind w:left="1440" w:right="719" w:hanging="1440"/>
        <w:jc w:val="center"/>
        <w:rPr>
          <w:rFonts w:ascii="Arial" w:cs="Arial" w:hAnsi="Arial" w:eastAsia="Arial"/>
          <w:b w:val="1"/>
          <w:bCs w:val="1"/>
          <w:spacing w:val="-2"/>
          <w:sz w:val="30"/>
          <w:szCs w:val="30"/>
          <w:u w:color="000000"/>
        </w:rPr>
      </w:pPr>
    </w:p>
    <w:p>
      <w:pPr>
        <w:pStyle w:val="Heading"/>
        <w:keepNext w:val="0"/>
        <w:spacing w:after="120"/>
        <w:rPr>
          <w:rFonts w:ascii="Arial" w:cs="Arial" w:hAnsi="Arial" w:eastAsia="Arial"/>
          <w:sz w:val="30"/>
          <w:szCs w:val="30"/>
          <w:u w:color="000000"/>
          <w:lang w:val="en-US"/>
        </w:rPr>
      </w:pPr>
    </w:p>
    <w:tbl>
      <w:tblPr>
        <w:tblW w:w="1046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606"/>
        <w:gridCol w:w="7860"/>
      </w:tblGrid>
      <w:tr>
        <w:tblPrEx>
          <w:shd w:val="clear" w:color="auto" w:fill="cadfff"/>
        </w:tblPrEx>
        <w:trPr>
          <w:trHeight w:val="292" w:hRule="atLeast"/>
        </w:trPr>
        <w:tc>
          <w:tcPr>
            <w:tcW w:type="dxa" w:w="2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31b5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120"/>
              <w:jc w:val="center"/>
            </w:pPr>
            <w:r>
              <w:rPr>
                <w:rFonts w:ascii="Arial" w:hAnsi="Arial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Criteria</w:t>
            </w:r>
          </w:p>
        </w:tc>
        <w:tc>
          <w:tcPr>
            <w:tcW w:type="dxa" w:w="7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31b5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120"/>
              <w:jc w:val="center"/>
            </w:pPr>
            <w:r>
              <w:rPr>
                <w:rFonts w:ascii="Arial" w:hAnsi="Arial"/>
                <w:outline w:val="0"/>
                <w:color w:val="ffffff"/>
                <w:u w:color="ffffff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Measures</w:t>
            </w:r>
          </w:p>
        </w:tc>
      </w:tr>
      <w:tr>
        <w:tblPrEx>
          <w:shd w:val="clear" w:color="auto" w:fill="cadfff"/>
        </w:tblPrEx>
        <w:trPr>
          <w:trHeight w:val="1333" w:hRule="atLeast"/>
        </w:trPr>
        <w:tc>
          <w:tcPr>
            <w:tcW w:type="dxa" w:w="2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20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Qualifications</w:t>
            </w:r>
          </w:p>
        </w:tc>
        <w:tc>
          <w:tcPr>
            <w:tcW w:type="dxa" w:w="7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numPr>
                <w:ilvl w:val="0"/>
                <w:numId w:val="1"/>
              </w:numPr>
              <w:spacing w:before="120"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 xml:space="preserve">Qualified teacher status </w:t>
            </w:r>
          </w:p>
          <w:p>
            <w:pPr>
              <w:pStyle w:val="Body A"/>
              <w:numPr>
                <w:ilvl w:val="0"/>
                <w:numId w:val="1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 degree or equivalent professional experience</w:t>
            </w:r>
          </w:p>
          <w:p>
            <w:pPr>
              <w:pStyle w:val="Body A"/>
              <w:numPr>
                <w:ilvl w:val="0"/>
                <w:numId w:val="1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 xml:space="preserve">National professional qualification for headship (NPQH) is desirable </w:t>
            </w:r>
          </w:p>
        </w:tc>
      </w:tr>
      <w:tr>
        <w:tblPrEx>
          <w:shd w:val="clear" w:color="auto" w:fill="cadfff"/>
        </w:tblPrEx>
        <w:trPr>
          <w:trHeight w:val="2653" w:hRule="atLeast"/>
        </w:trPr>
        <w:tc>
          <w:tcPr>
            <w:tcW w:type="dxa" w:w="2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20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Experience</w:t>
            </w:r>
          </w:p>
        </w:tc>
        <w:tc>
          <w:tcPr>
            <w:tcW w:type="dxa" w:w="7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numPr>
                <w:ilvl w:val="0"/>
                <w:numId w:val="2"/>
              </w:numPr>
              <w:spacing w:before="120"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Successful leadership and management experience in a school</w:t>
            </w:r>
          </w:p>
          <w:p>
            <w:pPr>
              <w:pStyle w:val="Body A"/>
              <w:numPr>
                <w:ilvl w:val="0"/>
                <w:numId w:val="2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Experience of working in rural schools</w:t>
            </w:r>
          </w:p>
          <w:p>
            <w:pPr>
              <w:pStyle w:val="Body A"/>
              <w:numPr>
                <w:ilvl w:val="0"/>
                <w:numId w:val="2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Experience of working in a federation</w:t>
            </w:r>
          </w:p>
          <w:p>
            <w:pPr>
              <w:pStyle w:val="Body A"/>
              <w:numPr>
                <w:ilvl w:val="0"/>
                <w:numId w:val="2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Teaching experience of at least 5 years</w:t>
            </w:r>
          </w:p>
          <w:p>
            <w:pPr>
              <w:pStyle w:val="Body A"/>
              <w:numPr>
                <w:ilvl w:val="0"/>
                <w:numId w:val="2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Leading or significant involvement in school self-evaluation and strategy development</w:t>
            </w:r>
          </w:p>
          <w:p>
            <w:pPr>
              <w:pStyle w:val="Body A"/>
              <w:numPr>
                <w:ilvl w:val="0"/>
                <w:numId w:val="2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Demonstrable experience of successful team leadership, line management and staff development</w:t>
            </w:r>
          </w:p>
        </w:tc>
      </w:tr>
      <w:tr>
        <w:tblPrEx>
          <w:shd w:val="clear" w:color="auto" w:fill="cadfff"/>
        </w:tblPrEx>
        <w:trPr>
          <w:trHeight w:val="5283" w:hRule="atLeast"/>
        </w:trPr>
        <w:tc>
          <w:tcPr>
            <w:tcW w:type="dxa" w:w="2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20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Skills and knowledge</w:t>
            </w:r>
          </w:p>
        </w:tc>
        <w:tc>
          <w:tcPr>
            <w:tcW w:type="dxa" w:w="7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numPr>
                <w:ilvl w:val="0"/>
                <w:numId w:val="3"/>
              </w:numPr>
              <w:spacing w:before="120"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 clear understanding of the difference between the role of an EHT in a Federation and a headteacher in a single school.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Data analysis skills, and the ability to use data to set targets and identify weaknesses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Understanding of high-quality teaching, and the ability to model this for others and support others to improve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Understanding of school finances and financial management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Effective communication and interpersonal skills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Ability to communicate a vision and inspire and motivate others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Ability to build effective, fair and equitable working relationships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Able to delegate and to monitor, reviewing regularly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An understanding of the importance of marketing the federation and the ability to drive this marketing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An appreciation of the importance of the federation and schools web sites</w:t>
            </w:r>
          </w:p>
          <w:p>
            <w:pPr>
              <w:pStyle w:val="Body A"/>
              <w:numPr>
                <w:ilvl w:val="0"/>
                <w:numId w:val="3"/>
              </w:numPr>
              <w:bidi w:val="0"/>
              <w:spacing w:before="120" w:after="120"/>
              <w:ind w:right="0"/>
              <w:jc w:val="left"/>
              <w:rPr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Good working knowledge of both OFSTED and SIAMS frameworks and their influence on strategy and school development plans</w:t>
            </w:r>
          </w:p>
        </w:tc>
      </w:tr>
      <w:tr>
        <w:tblPrEx>
          <w:shd w:val="clear" w:color="auto" w:fill="cadfff"/>
        </w:tblPrEx>
        <w:trPr>
          <w:trHeight w:val="4688" w:hRule="atLeast"/>
        </w:trPr>
        <w:tc>
          <w:tcPr>
            <w:tcW w:type="dxa" w:w="2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120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Personal qualities </w:t>
            </w:r>
          </w:p>
        </w:tc>
        <w:tc>
          <w:tcPr>
            <w:tcW w:type="dxa" w:w="78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numPr>
                <w:ilvl w:val="0"/>
                <w:numId w:val="4"/>
              </w:numPr>
              <w:spacing w:before="120"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An ambition to progress career</w:t>
            </w:r>
          </w:p>
          <w:p>
            <w:pPr>
              <w:pStyle w:val="Body A"/>
              <w:numPr>
                <w:ilvl w:val="0"/>
                <w:numId w:val="4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An understanding of why federations are advantageous particularly for small rural schools</w:t>
            </w:r>
          </w:p>
          <w:p>
            <w:pPr>
              <w:pStyle w:val="Body A"/>
              <w:numPr>
                <w:ilvl w:val="0"/>
                <w:numId w:val="4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 commitment to getting the best outcomes for all pupils and promoting the Christian ethos and values of the school</w:t>
            </w:r>
          </w:p>
          <w:p>
            <w:pPr>
              <w:pStyle w:val="Body A"/>
              <w:numPr>
                <w:ilvl w:val="0"/>
                <w:numId w:val="4"/>
              </w:numPr>
              <w:bidi w:val="0"/>
              <w:ind w:right="0"/>
              <w:jc w:val="left"/>
              <w:rPr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Respect for all beliefs, faiths and traditions.  Champion diversity and equality.</w:t>
            </w:r>
          </w:p>
          <w:p>
            <w:pPr>
              <w:pStyle w:val="Body A"/>
              <w:numPr>
                <w:ilvl w:val="0"/>
                <w:numId w:val="4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Ability to work under pressure and prioritise effectively</w:t>
            </w:r>
          </w:p>
          <w:p>
            <w:pPr>
              <w:pStyle w:val="Body A"/>
              <w:numPr>
                <w:ilvl w:val="0"/>
                <w:numId w:val="4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Commitment to maintaining confidentiality at all times</w:t>
            </w:r>
          </w:p>
          <w:p>
            <w:pPr>
              <w:pStyle w:val="Body A"/>
              <w:numPr>
                <w:ilvl w:val="0"/>
                <w:numId w:val="4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Commitment to safeguarding and equality</w:t>
            </w:r>
          </w:p>
          <w:p>
            <w:pPr>
              <w:pStyle w:val="Body A"/>
              <w:numPr>
                <w:ilvl w:val="0"/>
                <w:numId w:val="4"/>
              </w:numPr>
              <w:bidi w:val="0"/>
              <w:spacing w:before="120" w:after="120"/>
              <w:ind w:right="0"/>
              <w:jc w:val="left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rtl w:val="0"/>
                <w:lang w:val="en-US"/>
              </w:rPr>
              <w:t>A commitment to being open and honest with governors</w:t>
            </w:r>
          </w:p>
          <w:p>
            <w:pPr>
              <w:pStyle w:val="Body"/>
              <w:numPr>
                <w:ilvl w:val="0"/>
                <w:numId w:val="5"/>
              </w:numPr>
              <w:bidi w:val="0"/>
              <w:spacing w:after="160" w:line="259" w:lineRule="auto"/>
              <w:ind w:right="0"/>
              <w:jc w:val="left"/>
              <w:rPr>
                <w:rFonts w:ascii="Calibri Light" w:cs="Calibri Light" w:hAnsi="Calibri Light" w:eastAsia="Calibri Ligh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instrText xml:space="preserve"> HYPERLINK "https://www.gov.uk/government/publications/the-7-principles-of-public-life"</w:instrText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The 7 principles of public life</w:t>
            </w:r>
            <w:r>
              <w:rPr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fldChar w:fldCharType="end" w:fldLock="0"/>
            </w:r>
            <w:r>
              <w:rPr>
                <w:rStyle w:val="None"/>
                <w:rFonts w:ascii="Calibri Light" w:cs="Calibri Light" w:hAnsi="Calibri Light" w:eastAsia="Calibri Ligh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(the Nolan principles)</w:t>
            </w:r>
          </w:p>
          <w:p>
            <w:pPr>
              <w:pStyle w:val="Body"/>
              <w:numPr>
                <w:ilvl w:val="0"/>
                <w:numId w:val="5"/>
              </w:numPr>
              <w:bidi w:val="0"/>
              <w:spacing w:after="160" w:line="259" w:lineRule="auto"/>
              <w:ind w:right="0"/>
              <w:jc w:val="left"/>
              <w:rPr>
                <w:rFonts w:ascii="Calibri Light" w:cs="Calibri Light" w:hAnsi="Calibri Light" w:eastAsia="Calibri Ligh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instrText xml:space="preserve"> HYPERLINK "https://www.gov.uk/government/publications/national-standards-of-excellence-for-headteachers"</w:instrText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DfE Headteachers</w:t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’ </w:t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standards</w:t>
            </w:r>
            <w:r>
              <w:rPr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fldChar w:fldCharType="end" w:fldLock="0"/>
            </w:r>
          </w:p>
          <w:p>
            <w:pPr>
              <w:pStyle w:val="Body"/>
              <w:numPr>
                <w:ilvl w:val="0"/>
                <w:numId w:val="5"/>
              </w:numPr>
              <w:bidi w:val="0"/>
              <w:spacing w:after="160" w:line="259" w:lineRule="auto"/>
              <w:ind w:right="0"/>
              <w:jc w:val="left"/>
              <w:rPr>
                <w:rFonts w:ascii="Calibri Light" w:cs="Calibri Light" w:hAnsi="Calibri Light" w:eastAsia="Calibri Light"/>
                <w:sz w:val="22"/>
                <w:szCs w:val="22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fldChar w:fldCharType="begin" w:fldLock="0"/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instrText xml:space="preserve"> HYPERLINK "https://www.nga.org.uk/Knowledge-Centre/Good-governance/Ethical-governance/Framework-for-Ethical-Leadership-in-Education.aspx"</w:instrText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fldChar w:fldCharType="separate" w:fldLock="0"/>
            </w:r>
            <w:r>
              <w:rPr>
                <w:rStyle w:val="Hyperlink.0"/>
                <w:rFonts w:ascii="Calibri Light" w:cs="Calibri Light" w:hAnsi="Calibri Light" w:eastAsia="Calibri Light"/>
                <w:sz w:val="22"/>
                <w:szCs w:val="22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Framework for Ethical Leadership in Education</w:t>
            </w:r>
            <w:r>
              <w:rPr>
                <w:rFonts w:ascii="Calibri Light" w:cs="Calibri Light" w:hAnsi="Calibri Light" w:eastAsia="Calibri Light"/>
                <w:sz w:val="22"/>
                <w:szCs w:val="22"/>
                <w14:textOutline w14:w="12700" w14:cap="flat">
                  <w14:noFill/>
                  <w14:miter w14:lim="400000"/>
                </w14:textOutline>
              </w:rPr>
              <w:fldChar w:fldCharType="end" w:fldLock="0"/>
            </w:r>
          </w:p>
        </w:tc>
      </w:tr>
    </w:tbl>
    <w:p>
      <w:pPr>
        <w:pStyle w:val="Heading"/>
        <w:keepNext w:val="0"/>
        <w:widowControl w:val="0"/>
        <w:spacing w:after="120"/>
        <w:ind w:left="216" w:hanging="216"/>
      </w:pPr>
      <w:r>
        <w:rPr>
          <w:rStyle w:val="None"/>
          <w:rFonts w:ascii="Arial" w:cs="Arial" w:hAnsi="Arial" w:eastAsia="Arial"/>
          <w:sz w:val="30"/>
          <w:szCs w:val="30"/>
          <w:u w:color="000000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36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rPr>
        <w:rFonts w:ascii="Arial" w:hAnsi="Arial"/>
        <w:sz w:val="20"/>
        <w:szCs w:val="20"/>
        <w:rtl w:val="0"/>
        <w:lang w:val="en-US"/>
      </w:rPr>
      <w:t>AVF EHT Recruitment Person Specification 2020121</w:t>
    </w:r>
    <w:r>
      <w:rPr>
        <w:rFonts w:ascii="Arial" w:hAnsi="Arial"/>
        <w:sz w:val="20"/>
        <w:szCs w:val="20"/>
        <w:rtl w:val="0"/>
        <w:lang w:val="en-US"/>
      </w:rPr>
      <w:t>6</w:t>
      <w:tab/>
      <w:tab/>
      <w:tab/>
    </w:r>
    <w:r>
      <w:rPr>
        <w:rFonts w:ascii="Arial" w:cs="Arial" w:hAnsi="Arial" w:eastAsia="Arial"/>
        <w:sz w:val="20"/>
        <w:szCs w:val="20"/>
      </w:rPr>
      <w:fldChar w:fldCharType="begin" w:fldLock="0"/>
    </w:r>
    <w:r>
      <w:rPr>
        <w:rFonts w:ascii="Arial" w:cs="Arial" w:hAnsi="Arial" w:eastAsia="Arial"/>
        <w:sz w:val="20"/>
        <w:szCs w:val="20"/>
      </w:rPr>
      <w:instrText xml:space="preserve"> PAGE </w:instrText>
    </w:r>
    <w:r>
      <w:rPr>
        <w:rFonts w:ascii="Arial" w:cs="Arial" w:hAnsi="Arial" w:eastAsia="Arial"/>
        <w:sz w:val="20"/>
        <w:szCs w:val="20"/>
      </w:rPr>
      <w:fldChar w:fldCharType="separate" w:fldLock="0"/>
    </w:r>
    <w:r>
      <w:rPr>
        <w:rFonts w:ascii="Arial" w:cs="Arial" w:hAnsi="Arial" w:eastAsia="Arial"/>
        <w:sz w:val="20"/>
        <w:szCs w:val="20"/>
      </w:rPr>
    </w:r>
    <w:r>
      <w:rPr>
        <w:rFonts w:ascii="Arial" w:cs="Arial" w:hAnsi="Arial" w:eastAsia="Arial"/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59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1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3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5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7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9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1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3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5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59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1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3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5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7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9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1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3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5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59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1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3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5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7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9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1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3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5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59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1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3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5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47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19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15" w:hanging="3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3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55" w:hanging="3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▪"/>
      <w:lvlJc w:val="left"/>
      <w:pPr>
        <w:ind w:left="720" w:hanging="43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74b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74b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74b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74b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74b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74b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74b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74b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e74b5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