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uppressAutoHyphens w:val="1"/>
        <w:ind w:left="1440" w:right="719" w:hanging="1440"/>
        <w:jc w:val="center"/>
        <w:rPr>
          <w:rFonts w:ascii="Arial" w:cs="Arial" w:hAnsi="Arial" w:eastAsia="Arial"/>
          <w:b w:val="1"/>
          <w:bCs w:val="1"/>
          <w:spacing w:val="-2"/>
          <w:sz w:val="30"/>
          <w:szCs w:val="30"/>
          <w:u w:color="000000"/>
        </w:rPr>
      </w:pPr>
      <w:r>
        <w:rPr>
          <w:rFonts w:ascii="Arial" w:hAnsi="Arial"/>
          <w:b w:val="1"/>
          <w:bCs w:val="1"/>
          <w:spacing w:val="-2"/>
          <w:sz w:val="30"/>
          <w:szCs w:val="30"/>
          <w:u w:color="000000"/>
          <w:rtl w:val="0"/>
          <w:lang w:val="en-US"/>
        </w:rPr>
        <w:t xml:space="preserve">Arun Villages Federation </w:t>
      </w:r>
    </w:p>
    <w:p>
      <w:pPr>
        <w:pStyle w:val="Body A"/>
        <w:suppressAutoHyphens w:val="1"/>
        <w:ind w:left="1440" w:right="719" w:hanging="1440"/>
        <w:jc w:val="center"/>
        <w:rPr>
          <w:rFonts w:ascii="Arial" w:cs="Arial" w:hAnsi="Arial" w:eastAsia="Arial"/>
          <w:b w:val="1"/>
          <w:bCs w:val="1"/>
          <w:spacing w:val="-2"/>
          <w:sz w:val="30"/>
          <w:szCs w:val="30"/>
          <w:u w:color="000000"/>
        </w:rPr>
      </w:pPr>
      <w:r>
        <w:rPr>
          <w:rFonts w:ascii="Arial" w:hAnsi="Arial"/>
          <w:b w:val="1"/>
          <w:bCs w:val="1"/>
          <w:spacing w:val="-2"/>
          <w:sz w:val="30"/>
          <w:szCs w:val="30"/>
          <w:u w:color="000000"/>
          <w:rtl w:val="0"/>
          <w:lang w:val="en-US"/>
        </w:rPr>
        <w:t>Person Specification - Executive Headteacher (EHT)</w:t>
      </w:r>
    </w:p>
    <w:p>
      <w:pPr>
        <w:pStyle w:val="Body A"/>
        <w:suppressAutoHyphens w:val="1"/>
        <w:ind w:left="1440" w:right="719" w:hanging="1440"/>
        <w:jc w:val="center"/>
        <w:rPr>
          <w:rFonts w:ascii="Arial" w:cs="Arial" w:hAnsi="Arial" w:eastAsia="Arial"/>
          <w:b w:val="1"/>
          <w:bCs w:val="1"/>
          <w:spacing w:val="-2"/>
          <w:sz w:val="30"/>
          <w:szCs w:val="30"/>
          <w:u w:color="000000"/>
        </w:rPr>
      </w:pPr>
    </w:p>
    <w:p>
      <w:pPr>
        <w:pStyle w:val="Heading"/>
        <w:keepNext w:val="0"/>
        <w:spacing w:after="120"/>
        <w:rPr>
          <w:rFonts w:ascii="Arial" w:cs="Arial" w:hAnsi="Arial" w:eastAsia="Arial"/>
          <w:sz w:val="30"/>
          <w:szCs w:val="30"/>
          <w:u w:color="000000"/>
          <w:lang w:val="en-US"/>
        </w:rPr>
      </w:pPr>
    </w:p>
    <w:tbl>
      <w:tblPr>
        <w:tblW w:w="1046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606"/>
        <w:gridCol w:w="7860"/>
      </w:tblGrid>
      <w:tr>
        <w:tblPrEx>
          <w:shd w:val="clear" w:color="auto" w:fill="cadfff"/>
        </w:tblPrEx>
        <w:trPr>
          <w:trHeight w:val="292" w:hRule="atLeast"/>
        </w:trPr>
        <w:tc>
          <w:tcPr>
            <w:tcW w:type="dxa" w:w="26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431b5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after="120"/>
              <w:jc w:val="center"/>
            </w:pPr>
            <w:r>
              <w:rPr>
                <w:rFonts w:ascii="Arial" w:hAnsi="Arial"/>
                <w:outline w:val="0"/>
                <w:color w:val="ffffff"/>
                <w:u w:color="ffffff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Criteria</w:t>
            </w:r>
          </w:p>
        </w:tc>
        <w:tc>
          <w:tcPr>
            <w:tcW w:type="dxa" w:w="7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431b5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after="120"/>
              <w:jc w:val="center"/>
            </w:pPr>
            <w:r>
              <w:rPr>
                <w:rFonts w:ascii="Arial" w:hAnsi="Arial"/>
                <w:outline w:val="0"/>
                <w:color w:val="ffffff"/>
                <w:u w:color="ffffff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Measures</w:t>
            </w:r>
          </w:p>
        </w:tc>
      </w:tr>
      <w:tr>
        <w:tblPrEx>
          <w:shd w:val="clear" w:color="auto" w:fill="cadfff"/>
        </w:tblPrEx>
        <w:trPr>
          <w:trHeight w:val="1333" w:hRule="atLeast"/>
        </w:trPr>
        <w:tc>
          <w:tcPr>
            <w:tcW w:type="dxa" w:w="26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120"/>
            </w:pPr>
            <w:r>
              <w:rPr>
                <w:rFonts w:ascii="Arial" w:hAnsi="Arial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Qualifications</w:t>
            </w:r>
          </w:p>
        </w:tc>
        <w:tc>
          <w:tcPr>
            <w:tcW w:type="dxa" w:w="7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numPr>
                <w:ilvl w:val="0"/>
                <w:numId w:val="1"/>
              </w:numPr>
              <w:spacing w:before="120"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 xml:space="preserve">Qualified teacher status </w:t>
            </w:r>
          </w:p>
          <w:p>
            <w:pPr>
              <w:pStyle w:val="Body A"/>
              <w:numPr>
                <w:ilvl w:val="0"/>
                <w:numId w:val="1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 degree or equivalent professional experience</w:t>
            </w:r>
          </w:p>
          <w:p>
            <w:pPr>
              <w:pStyle w:val="Body A"/>
              <w:numPr>
                <w:ilvl w:val="0"/>
                <w:numId w:val="1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 xml:space="preserve">National professional qualification for headship (NPQH) is desirable </w:t>
            </w:r>
          </w:p>
        </w:tc>
      </w:tr>
      <w:tr>
        <w:tblPrEx>
          <w:shd w:val="clear" w:color="auto" w:fill="cadfff"/>
        </w:tblPrEx>
        <w:trPr>
          <w:trHeight w:val="2653" w:hRule="atLeast"/>
        </w:trPr>
        <w:tc>
          <w:tcPr>
            <w:tcW w:type="dxa" w:w="26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120"/>
            </w:pPr>
            <w:r>
              <w:rPr>
                <w:rFonts w:ascii="Arial" w:hAnsi="Arial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Experience</w:t>
            </w:r>
          </w:p>
        </w:tc>
        <w:tc>
          <w:tcPr>
            <w:tcW w:type="dxa" w:w="7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numPr>
                <w:ilvl w:val="0"/>
                <w:numId w:val="2"/>
              </w:numPr>
              <w:spacing w:before="120"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Successful leadership and management experience in a school</w:t>
            </w:r>
          </w:p>
          <w:p>
            <w:pPr>
              <w:pStyle w:val="Body A"/>
              <w:numPr>
                <w:ilvl w:val="0"/>
                <w:numId w:val="2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Experience of working in rural schools</w:t>
            </w:r>
          </w:p>
          <w:p>
            <w:pPr>
              <w:pStyle w:val="Body A"/>
              <w:numPr>
                <w:ilvl w:val="0"/>
                <w:numId w:val="2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Experience of working in a federation</w:t>
            </w:r>
          </w:p>
          <w:p>
            <w:pPr>
              <w:pStyle w:val="Body A"/>
              <w:numPr>
                <w:ilvl w:val="0"/>
                <w:numId w:val="2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Teaching experience of at least 5 years</w:t>
            </w:r>
          </w:p>
          <w:p>
            <w:pPr>
              <w:pStyle w:val="Body A"/>
              <w:numPr>
                <w:ilvl w:val="0"/>
                <w:numId w:val="2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Leading or significant involvement in school self-evaluation and strategy development</w:t>
            </w:r>
          </w:p>
          <w:p>
            <w:pPr>
              <w:pStyle w:val="Body A"/>
              <w:numPr>
                <w:ilvl w:val="0"/>
                <w:numId w:val="2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Demonstrable experience of successful team leadership, line management and staff development</w:t>
            </w:r>
          </w:p>
        </w:tc>
      </w:tr>
      <w:tr>
        <w:tblPrEx>
          <w:shd w:val="clear" w:color="auto" w:fill="cadfff"/>
        </w:tblPrEx>
        <w:trPr>
          <w:trHeight w:val="5283" w:hRule="atLeast"/>
        </w:trPr>
        <w:tc>
          <w:tcPr>
            <w:tcW w:type="dxa" w:w="26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120"/>
            </w:pPr>
            <w:r>
              <w:rPr>
                <w:rFonts w:ascii="Arial" w:hAnsi="Arial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Skills and knowledge</w:t>
            </w:r>
          </w:p>
        </w:tc>
        <w:tc>
          <w:tcPr>
            <w:tcW w:type="dxa" w:w="7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numPr>
                <w:ilvl w:val="0"/>
                <w:numId w:val="3"/>
              </w:numPr>
              <w:spacing w:before="120"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 clear understanding of the difference between the role of an EHT in a Federation and a headteacher in a single school.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Data analysis skills, and the ability to use data to set targets and identify weaknesses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Understanding of high-quality teaching, and the ability to model this for others and support others to improve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Understanding of school finances and financial management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Effective communication and interpersonal skills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Ability to communicate a vision and inspire and motivate others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Ability to build effective, fair and equitable working relationships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Able to delegate and to monitor, reviewing regularly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An understanding of the importance of marketing the federation and the ability to drive this marketing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An appreciation of the importance of the federation and schools web sites</w:t>
            </w:r>
          </w:p>
          <w:p>
            <w:pPr>
              <w:pStyle w:val="Body A"/>
              <w:numPr>
                <w:ilvl w:val="0"/>
                <w:numId w:val="3"/>
              </w:numPr>
              <w:bidi w:val="0"/>
              <w:spacing w:before="120" w:after="120"/>
              <w:ind w:right="0"/>
              <w:jc w:val="left"/>
              <w:rPr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Good working knowledge of both OFSTED and SIAMS frameworks and their influence on strategy and school development plans</w:t>
            </w:r>
          </w:p>
        </w:tc>
      </w:tr>
      <w:tr>
        <w:tblPrEx>
          <w:shd w:val="clear" w:color="auto" w:fill="cadfff"/>
        </w:tblPrEx>
        <w:trPr>
          <w:trHeight w:val="4688" w:hRule="atLeast"/>
        </w:trPr>
        <w:tc>
          <w:tcPr>
            <w:tcW w:type="dxa" w:w="26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120"/>
            </w:pPr>
            <w:r>
              <w:rPr>
                <w:rFonts w:ascii="Arial" w:hAnsi="Arial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Personal qualities </w:t>
            </w:r>
          </w:p>
        </w:tc>
        <w:tc>
          <w:tcPr>
            <w:tcW w:type="dxa" w:w="7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numPr>
                <w:ilvl w:val="0"/>
                <w:numId w:val="4"/>
              </w:numPr>
              <w:spacing w:before="120"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An ambition to progress career</w:t>
            </w:r>
          </w:p>
          <w:p>
            <w:pPr>
              <w:pStyle w:val="Body A"/>
              <w:numPr>
                <w:ilvl w:val="0"/>
                <w:numId w:val="4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An understanding of why federations are advantageous particularly for small rural schools</w:t>
            </w:r>
          </w:p>
          <w:p>
            <w:pPr>
              <w:pStyle w:val="Body A"/>
              <w:numPr>
                <w:ilvl w:val="0"/>
                <w:numId w:val="4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 commitment to getting the best outcomes for all pupils and promoting the Christian ethos and values of the school</w:t>
            </w:r>
          </w:p>
          <w:p>
            <w:pPr>
              <w:pStyle w:val="Body A"/>
              <w:numPr>
                <w:ilvl w:val="0"/>
                <w:numId w:val="4"/>
              </w:numPr>
              <w:bidi w:val="0"/>
              <w:ind w:right="0"/>
              <w:jc w:val="left"/>
              <w:rPr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Respect for all beliefs, faiths and traditions.  Champion diversity and equality.</w:t>
            </w:r>
          </w:p>
          <w:p>
            <w:pPr>
              <w:pStyle w:val="Body A"/>
              <w:numPr>
                <w:ilvl w:val="0"/>
                <w:numId w:val="4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Ability to work under pressure and prioritise effectively</w:t>
            </w:r>
          </w:p>
          <w:p>
            <w:pPr>
              <w:pStyle w:val="Body A"/>
              <w:numPr>
                <w:ilvl w:val="0"/>
                <w:numId w:val="4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Commitment to maintaining confidentiality at all times</w:t>
            </w:r>
          </w:p>
          <w:p>
            <w:pPr>
              <w:pStyle w:val="Body A"/>
              <w:numPr>
                <w:ilvl w:val="0"/>
                <w:numId w:val="4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Commitment to safeguarding and equality</w:t>
            </w:r>
          </w:p>
          <w:p>
            <w:pPr>
              <w:pStyle w:val="Body A"/>
              <w:numPr>
                <w:ilvl w:val="0"/>
                <w:numId w:val="4"/>
              </w:numPr>
              <w:bidi w:val="0"/>
              <w:spacing w:before="120" w:after="120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A commitment to being open and honest with governors</w:t>
            </w:r>
          </w:p>
          <w:p>
            <w:pPr>
              <w:pStyle w:val="Body"/>
              <w:numPr>
                <w:ilvl w:val="0"/>
                <w:numId w:val="5"/>
              </w:numPr>
              <w:bidi w:val="0"/>
              <w:spacing w:after="160" w:line="259" w:lineRule="auto"/>
              <w:ind w:right="0"/>
              <w:jc w:val="left"/>
              <w:rPr>
                <w:rFonts w:ascii="Calibri Light" w:cs="Calibri Light" w:hAnsi="Calibri Light" w:eastAsia="Calibri Light"/>
                <w:sz w:val="22"/>
                <w:szCs w:val="22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fldChar w:fldCharType="begin" w:fldLock="0"/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instrText xml:space="preserve"> HYPERLINK "https://www.gov.uk/government/publications/the-7-principles-of-public-life"</w:instrText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fldChar w:fldCharType="separate" w:fldLock="0"/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The 7 principles of public life</w:t>
            </w:r>
            <w:r>
              <w:rPr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fldChar w:fldCharType="end" w:fldLock="0"/>
            </w:r>
            <w:r>
              <w:rPr>
                <w:rStyle w:val="None"/>
                <w:rFonts w:ascii="Calibri Light" w:cs="Calibri Light" w:hAnsi="Calibri Light" w:eastAsia="Calibri Light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(the Nolan principles)</w:t>
            </w:r>
          </w:p>
          <w:p>
            <w:pPr>
              <w:pStyle w:val="Body"/>
              <w:numPr>
                <w:ilvl w:val="0"/>
                <w:numId w:val="5"/>
              </w:numPr>
              <w:bidi w:val="0"/>
              <w:spacing w:after="160" w:line="259" w:lineRule="auto"/>
              <w:ind w:right="0"/>
              <w:jc w:val="left"/>
              <w:rPr>
                <w:rFonts w:ascii="Calibri Light" w:cs="Calibri Light" w:hAnsi="Calibri Light" w:eastAsia="Calibri Light"/>
                <w:sz w:val="22"/>
                <w:szCs w:val="22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fldChar w:fldCharType="begin" w:fldLock="0"/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instrText xml:space="preserve"> HYPERLINK "https://www.gov.uk/government/publications/national-standards-of-excellence-for-headteachers"</w:instrText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fldChar w:fldCharType="separate" w:fldLock="0"/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DfE Headteachers</w:t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’ </w:t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standards</w:t>
            </w:r>
            <w:r>
              <w:rPr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fldChar w:fldCharType="end" w:fldLock="0"/>
            </w:r>
          </w:p>
          <w:p>
            <w:pPr>
              <w:pStyle w:val="Body"/>
              <w:numPr>
                <w:ilvl w:val="0"/>
                <w:numId w:val="5"/>
              </w:numPr>
              <w:bidi w:val="0"/>
              <w:spacing w:after="160" w:line="259" w:lineRule="auto"/>
              <w:ind w:right="0"/>
              <w:jc w:val="left"/>
              <w:rPr>
                <w:rFonts w:ascii="Calibri Light" w:cs="Calibri Light" w:hAnsi="Calibri Light" w:eastAsia="Calibri Light"/>
                <w:sz w:val="22"/>
                <w:szCs w:val="22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fldChar w:fldCharType="begin" w:fldLock="0"/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instrText xml:space="preserve"> HYPERLINK "https://www.nga.org.uk/Knowledge-Centre/Good-governance/Ethical-governance/Framework-for-Ethical-Leadership-in-Education.aspx"</w:instrText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fldChar w:fldCharType="separate" w:fldLock="0"/>
            </w:r>
            <w:r>
              <w:rPr>
                <w:rStyle w:val="Hyperlink.0"/>
                <w:rFonts w:ascii="Calibri Light" w:cs="Calibri Light" w:hAnsi="Calibri Light" w:eastAsia="Calibri Light"/>
                <w:sz w:val="22"/>
                <w:szCs w:val="22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Framework for Ethical Leadership in Education</w:t>
            </w:r>
            <w:r>
              <w:rPr>
                <w:rFonts w:ascii="Calibri Light" w:cs="Calibri Light" w:hAnsi="Calibri Light" w:eastAsia="Calibri Light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fldChar w:fldCharType="end" w:fldLock="0"/>
            </w:r>
          </w:p>
        </w:tc>
      </w:tr>
    </w:tbl>
    <w:p>
      <w:pPr>
        <w:pStyle w:val="Heading"/>
        <w:keepNext w:val="0"/>
        <w:widowControl w:val="0"/>
        <w:spacing w:after="120"/>
        <w:ind w:left="216" w:hanging="216"/>
      </w:pPr>
      <w:r>
        <w:rPr>
          <w:rStyle w:val="None"/>
          <w:rFonts w:ascii="Arial" w:cs="Arial" w:hAnsi="Arial" w:eastAsia="Arial"/>
          <w:sz w:val="30"/>
          <w:szCs w:val="30"/>
          <w:u w:color="000000"/>
          <w:lang w:val="en-US"/>
        </w:rPr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36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w:rPr>
        <w:rFonts w:ascii="Arial" w:hAnsi="Arial"/>
        <w:sz w:val="20"/>
        <w:szCs w:val="20"/>
        <w:rtl w:val="0"/>
        <w:lang w:val="en-US"/>
      </w:rPr>
      <w:t>AVF EHT Recruitment Person Specification 2020121</w:t>
    </w:r>
    <w:r>
      <w:rPr>
        <w:rFonts w:ascii="Arial" w:hAnsi="Arial"/>
        <w:sz w:val="20"/>
        <w:szCs w:val="20"/>
        <w:rtl w:val="0"/>
        <w:lang w:val="en-US"/>
      </w:rPr>
      <w:t>6</w:t>
      <w:tab/>
      <w:tab/>
      <w:tab/>
    </w:r>
    <w:r>
      <w:rPr>
        <w:rFonts w:ascii="Arial" w:cs="Arial" w:hAnsi="Arial" w:eastAsia="Arial"/>
        <w:sz w:val="20"/>
        <w:szCs w:val="20"/>
      </w:rPr>
      <w:fldChar w:fldCharType="begin" w:fldLock="0"/>
    </w:r>
    <w:r>
      <w:rPr>
        <w:rFonts w:ascii="Arial" w:cs="Arial" w:hAnsi="Arial" w:eastAsia="Arial"/>
        <w:sz w:val="20"/>
        <w:szCs w:val="20"/>
      </w:rPr>
      <w:instrText xml:space="preserve"> PAGE </w:instrText>
    </w:r>
    <w:r>
      <w:rPr>
        <w:rFonts w:ascii="Arial" w:cs="Arial" w:hAnsi="Arial" w:eastAsia="Arial"/>
        <w:sz w:val="20"/>
        <w:szCs w:val="20"/>
      </w:rPr>
      <w:fldChar w:fldCharType="separate" w:fldLock="0"/>
    </w:r>
    <w:r>
      <w:rPr>
        <w:rFonts w:ascii="Arial" w:cs="Arial" w:hAnsi="Arial" w:eastAsia="Arial"/>
        <w:sz w:val="20"/>
        <w:szCs w:val="20"/>
      </w:rPr>
    </w:r>
    <w:r>
      <w:rPr>
        <w:rFonts w:ascii="Arial" w:cs="Arial" w:hAnsi="Arial" w:eastAsia="Arial"/>
        <w:sz w:val="20"/>
        <w:szCs w:val="2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59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1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3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75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7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9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91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3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5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59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1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3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75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7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9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91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3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5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59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1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3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75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7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9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91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3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5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59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1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3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75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7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9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915" w:hanging="3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3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55" w:hanging="3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▪"/>
      <w:lvlJc w:val="left"/>
      <w:pPr>
        <w:ind w:left="720" w:hanging="43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□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□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e74b5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563c1"/>
      <w:u w:val="single" w:color="0563c1"/>
      <w:lang w:val="en-US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