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12D0B198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CB60D0">
        <w:rPr>
          <w:rFonts w:cs="Arial"/>
          <w:b/>
          <w:sz w:val="22"/>
          <w:szCs w:val="22"/>
        </w:rPr>
        <w:t>– Filey Junior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77777777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F92748">
              <w:rPr>
                <w:rFonts w:eastAsia="Calibri" w:cs="Arial"/>
                <w:sz w:val="20"/>
                <w:szCs w:val="20"/>
              </w:rPr>
              <w:t>e.g.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>
              <w:rPr>
                <w:rFonts w:eastAsia="Calibri" w:cs="Arial"/>
                <w:sz w:val="20"/>
                <w:szCs w:val="20"/>
              </w:rPr>
              <w:t>the SEN</w:t>
            </w:r>
            <w:r w:rsidR="00EB4A88">
              <w:rPr>
                <w:rFonts w:eastAsia="Calibri" w:cs="Arial"/>
                <w:sz w:val="20"/>
                <w:szCs w:val="20"/>
              </w:rPr>
              <w:t>D</w:t>
            </w:r>
            <w:r w:rsidR="00976086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>
              <w:rPr>
                <w:rFonts w:eastAsia="Calibri" w:cs="Arial"/>
                <w:sz w:val="20"/>
                <w:szCs w:val="20"/>
              </w:rPr>
              <w:t xml:space="preserve">inclusion </w:t>
            </w:r>
            <w:r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070EE83D" w:rsidR="00882914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</w:t>
            </w:r>
            <w:r w:rsidR="007D5EA8" w:rsidRPr="00BE058F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BE058F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142609B8" w:rsidR="00F357B0" w:rsidRPr="0026713C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>K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4D4850">
              <w:rPr>
                <w:rFonts w:cs="Arial"/>
                <w:sz w:val="20"/>
                <w:szCs w:val="20"/>
              </w:rPr>
              <w:t>strategies</w:t>
            </w:r>
            <w:r w:rsidR="004D4850" w:rsidRPr="004D4850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f</w:t>
            </w:r>
            <w:r w:rsidR="004D4850" w:rsidRPr="004D4850">
              <w:rPr>
                <w:rFonts w:cs="Arial"/>
                <w:sz w:val="20"/>
                <w:szCs w:val="20"/>
              </w:rPr>
              <w:t>or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4D4850">
              <w:rPr>
                <w:rFonts w:cs="Arial"/>
                <w:sz w:val="20"/>
                <w:szCs w:val="20"/>
              </w:rPr>
              <w:t xml:space="preserve">, </w:t>
            </w:r>
            <w:r w:rsidR="00A11E8E" w:rsidRPr="004D4850">
              <w:rPr>
                <w:rFonts w:cs="Arial"/>
                <w:sz w:val="20"/>
                <w:szCs w:val="20"/>
              </w:rPr>
              <w:t>and attendance</w:t>
            </w:r>
            <w:r w:rsidR="00E85183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77777777" w:rsidR="00F357B0" w:rsidRPr="0026713C" w:rsidRDefault="00F357B0" w:rsidP="008D11C1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77777777" w:rsidR="00A63628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 w:rsidR="008A52C0"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647C85"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>
              <w:rPr>
                <w:rFonts w:cs="Arial"/>
                <w:sz w:val="20"/>
                <w:szCs w:val="20"/>
              </w:rPr>
              <w:t xml:space="preserve">, demonstrating </w:t>
            </w:r>
            <w:r w:rsidR="00CA71B0">
              <w:rPr>
                <w:rFonts w:cs="Arial"/>
                <w:sz w:val="20"/>
                <w:szCs w:val="20"/>
              </w:rPr>
              <w:t xml:space="preserve">and maintaining </w:t>
            </w:r>
            <w:r w:rsidR="00647C85">
              <w:rPr>
                <w:rFonts w:cs="Arial"/>
                <w:sz w:val="20"/>
                <w:szCs w:val="20"/>
              </w:rPr>
              <w:t>appropriate</w:t>
            </w:r>
            <w:r w:rsidR="00647C85"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70390E26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8D0081" w:rsidRPr="00BE058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lastRenderedPageBreak/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26713C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lastRenderedPageBreak/>
              <w:t>S</w:t>
            </w:r>
            <w:r w:rsidR="00AF4F02">
              <w:rPr>
                <w:rFonts w:cs="Arial"/>
                <w:iCs/>
                <w:sz w:val="20"/>
                <w:szCs w:val="20"/>
              </w:rPr>
              <w:t>uccessful e</w:t>
            </w:r>
            <w:r w:rsidR="00AF4F02" w:rsidRPr="0026713C">
              <w:rPr>
                <w:rFonts w:cs="Arial"/>
                <w:iCs/>
                <w:sz w:val="20"/>
                <w:szCs w:val="20"/>
              </w:rPr>
              <w:t>xperience of</w:t>
            </w:r>
            <w:r w:rsidR="00474B3E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>
              <w:rPr>
                <w:rFonts w:cs="Arial"/>
                <w:iCs/>
                <w:sz w:val="20"/>
                <w:szCs w:val="20"/>
              </w:rPr>
              <w:t>management</w:t>
            </w:r>
            <w:r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>
              <w:rPr>
                <w:rFonts w:cs="Arial"/>
                <w:iCs/>
                <w:sz w:val="20"/>
                <w:szCs w:val="20"/>
              </w:rPr>
              <w:t>taff</w:t>
            </w:r>
            <w:r w:rsidR="00EA61A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26713C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BE058F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BE058F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BE058F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77777777" w:rsidR="007351B2" w:rsidRPr="00BE058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BE058F">
              <w:rPr>
                <w:rFonts w:cs="Arial"/>
                <w:sz w:val="20"/>
                <w:szCs w:val="20"/>
              </w:rPr>
              <w:t xml:space="preserve">of </w:t>
            </w:r>
            <w:r w:rsidRPr="00BE058F">
              <w:rPr>
                <w:rFonts w:cs="Arial"/>
                <w:sz w:val="20"/>
                <w:szCs w:val="20"/>
              </w:rPr>
              <w:t>implementing professional development strategies for staff to ensure quality provision and outcomes</w:t>
            </w:r>
            <w:r w:rsidR="00F22744" w:rsidRPr="00BE058F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7777777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1FA93E65" w:rsidR="00E423B2" w:rsidRPr="0026713C" w:rsidRDefault="00806C55" w:rsidP="007216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Decision making and calculated risk taking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38B78AEC" w:rsidR="00E423B2" w:rsidRPr="0026713C" w:rsidRDefault="00806C55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68EC17AC" w:rsidR="00E423B2" w:rsidRPr="0026713C" w:rsidRDefault="00806C55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Influencing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329D2683" w:rsidR="00E423B2" w:rsidRPr="0026713C" w:rsidRDefault="00806C55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for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4E6CF4DD" w:rsidR="00E423B2" w:rsidRPr="0026713C" w:rsidRDefault="00806C55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2FD0B4B2" w:rsidR="00E423B2" w:rsidRPr="0026713C" w:rsidRDefault="00806C55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064" w14:textId="77777777" w:rsidR="004F489B" w:rsidRDefault="004F489B" w:rsidP="00A73E61">
      <w:r>
        <w:separator/>
      </w:r>
    </w:p>
  </w:endnote>
  <w:endnote w:type="continuationSeparator" w:id="0">
    <w:p w14:paraId="72434E93" w14:textId="77777777" w:rsidR="004F489B" w:rsidRDefault="004F489B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89C" w14:textId="77777777" w:rsidR="004F489B" w:rsidRDefault="004F489B" w:rsidP="00A73E61">
      <w:r>
        <w:separator/>
      </w:r>
    </w:p>
  </w:footnote>
  <w:footnote w:type="continuationSeparator" w:id="0">
    <w:p w14:paraId="06707AAE" w14:textId="77777777" w:rsidR="004F489B" w:rsidRDefault="004F489B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58339A01" w:rsidR="00A17135" w:rsidRPr="00F95E89" w:rsidRDefault="00CB60D0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4383" behindDoc="0" locked="0" layoutInCell="1" allowOverlap="1" wp14:anchorId="17979256" wp14:editId="7C134977">
          <wp:simplePos x="0" y="0"/>
          <wp:positionH relativeFrom="column">
            <wp:posOffset>6038850</wp:posOffset>
          </wp:positionH>
          <wp:positionV relativeFrom="paragraph">
            <wp:posOffset>-138430</wp:posOffset>
          </wp:positionV>
          <wp:extent cx="730250" cy="704850"/>
          <wp:effectExtent l="0" t="0" r="0" b="0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5146F5D0-D4D4-7FE8-B158-FFDA54987B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5146F5D0-D4D4-7FE8-B158-FFDA54987B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1842B335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B191D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E6972"/>
    <w:rsid w:val="004F489B"/>
    <w:rsid w:val="004F76CE"/>
    <w:rsid w:val="005044D3"/>
    <w:rsid w:val="00504D21"/>
    <w:rsid w:val="00505733"/>
    <w:rsid w:val="005274D1"/>
    <w:rsid w:val="00532193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06C55"/>
    <w:rsid w:val="008128BA"/>
    <w:rsid w:val="0081796F"/>
    <w:rsid w:val="00826972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33470"/>
    <w:rsid w:val="00A54371"/>
    <w:rsid w:val="00A62E96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B60D0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2C0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3</cp:revision>
  <cp:lastPrinted>2021-12-01T03:48:00Z</cp:lastPrinted>
  <dcterms:created xsi:type="dcterms:W3CDTF">2025-03-25T11:28:00Z</dcterms:created>
  <dcterms:modified xsi:type="dcterms:W3CDTF">2025-03-25T20:16:00Z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