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B0" w:rsidRPr="007E1F66" w:rsidRDefault="00F23AE8">
      <w:pPr>
        <w:pStyle w:val="Heading1"/>
        <w:rPr>
          <w:rFonts w:ascii="Calibri" w:hAnsi="Calibri" w:cs="Calibri"/>
          <w:color w:val="76923C" w:themeColor="accent3" w:themeShade="BF"/>
        </w:rPr>
      </w:pPr>
      <w:r w:rsidRPr="007E1F66">
        <w:rPr>
          <w:rFonts w:ascii="Calibri" w:hAnsi="Calibri" w:cs="Calibri"/>
          <w:color w:val="76923C" w:themeColor="accent3" w:themeShade="BF"/>
        </w:rPr>
        <w:t>Finance Manager</w:t>
      </w:r>
      <w:r w:rsidR="007E1F66" w:rsidRPr="007E1F66">
        <w:rPr>
          <w:rFonts w:ascii="Calibri" w:hAnsi="Calibri" w:cs="Calibri"/>
          <w:color w:val="76923C" w:themeColor="accent3" w:themeShade="BF"/>
        </w:rPr>
        <w:t xml:space="preserve"> Job Description – Fazakerley Primary School </w:t>
      </w:r>
    </w:p>
    <w:p w:rsidR="00A82DB0" w:rsidRPr="007E1F66" w:rsidRDefault="00F23AE8">
      <w:pPr>
        <w:pStyle w:val="Heading2"/>
        <w:rPr>
          <w:rFonts w:ascii="Calibri" w:hAnsi="Calibri" w:cs="Calibri"/>
          <w:color w:val="76923C" w:themeColor="accent3" w:themeShade="BF"/>
        </w:rPr>
      </w:pPr>
      <w:r w:rsidRPr="007E1F66">
        <w:rPr>
          <w:rFonts w:ascii="Calibri" w:hAnsi="Calibri" w:cs="Calibri"/>
          <w:color w:val="76923C" w:themeColor="accent3" w:themeShade="BF"/>
        </w:rPr>
        <w:t>Overall Focus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Aspect</w:t>
            </w:r>
          </w:p>
        </w:tc>
        <w:tc>
          <w:tcPr>
            <w:tcW w:w="8788" w:type="dxa"/>
          </w:tcPr>
          <w:p w:rsidR="001E6763" w:rsidRPr="001E6763" w:rsidRDefault="001E6763">
            <w:pPr>
              <w:rPr>
                <w:rFonts w:ascii="Calibri" w:hAnsi="Calibri" w:cs="Calibri"/>
                <w:b/>
              </w:rPr>
            </w:pPr>
            <w:r w:rsidRPr="001E6763">
              <w:rPr>
                <w:rFonts w:ascii="Calibri" w:hAnsi="Calibri" w:cs="Calibri"/>
                <w:b/>
              </w:rPr>
              <w:t>Finance Manager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Primary Purpose</w:t>
            </w:r>
          </w:p>
        </w:tc>
        <w:tc>
          <w:tcPr>
            <w:tcW w:w="8788" w:type="dxa"/>
          </w:tcPr>
          <w:p w:rsidR="001E6763" w:rsidRPr="00F23AE8" w:rsidRDefault="007E1F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1E6763" w:rsidRPr="00F23AE8">
              <w:rPr>
                <w:rFonts w:ascii="Calibri" w:hAnsi="Calibri" w:cs="Calibri"/>
              </w:rPr>
              <w:t>inancial management — ensuring accurate day-to-day financial transactions, reconciliations, and compliance with regulations</w:t>
            </w:r>
            <w:r w:rsidR="001E6763">
              <w:rPr>
                <w:rFonts w:ascii="Calibri" w:hAnsi="Calibri" w:cs="Calibri"/>
              </w:rPr>
              <w:t xml:space="preserve">, </w:t>
            </w:r>
            <w:r w:rsidR="001E6763" w:rsidRPr="00F23AE8">
              <w:rPr>
                <w:rFonts w:ascii="Calibri" w:hAnsi="Calibri" w:cs="Calibri"/>
              </w:rPr>
              <w:t>supporting the Headteacher</w:t>
            </w:r>
            <w:r w:rsidR="001E6763">
              <w:rPr>
                <w:rFonts w:ascii="Calibri" w:hAnsi="Calibri" w:cs="Calibri"/>
              </w:rPr>
              <w:t>, Senior Leaders</w:t>
            </w:r>
            <w:r w:rsidR="001E6763" w:rsidRPr="00F23AE8">
              <w:rPr>
                <w:rFonts w:ascii="Calibri" w:hAnsi="Calibri" w:cs="Calibri"/>
              </w:rPr>
              <w:t xml:space="preserve"> and Governors in decision-making.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Level of Responsibility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F23AE8">
              <w:rPr>
                <w:rFonts w:ascii="Calibri" w:hAnsi="Calibri" w:cs="Calibri"/>
              </w:rPr>
              <w:t>ocused on implementing and managing financial systems and processes.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Scope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F23AE8">
              <w:rPr>
                <w:rFonts w:ascii="Calibri" w:hAnsi="Calibri" w:cs="Calibri"/>
              </w:rPr>
              <w:t>inancial and administrative, with emphasis on detailed budget management and accounting.</w:t>
            </w:r>
          </w:p>
        </w:tc>
      </w:tr>
    </w:tbl>
    <w:p w:rsidR="00A82DB0" w:rsidRPr="00F23AE8" w:rsidRDefault="00A82DB0">
      <w:pPr>
        <w:rPr>
          <w:rFonts w:ascii="Calibri" w:hAnsi="Calibri" w:cs="Calibri"/>
        </w:rPr>
      </w:pPr>
    </w:p>
    <w:p w:rsidR="00A82DB0" w:rsidRPr="007E1F66" w:rsidRDefault="00F23AE8">
      <w:pPr>
        <w:pStyle w:val="Heading2"/>
        <w:rPr>
          <w:rFonts w:ascii="Calibri" w:hAnsi="Calibri" w:cs="Calibri"/>
          <w:color w:val="76923C" w:themeColor="accent3" w:themeShade="BF"/>
        </w:rPr>
      </w:pPr>
      <w:r w:rsidRPr="007E1F66">
        <w:rPr>
          <w:rFonts w:ascii="Calibri" w:hAnsi="Calibri" w:cs="Calibri"/>
          <w:color w:val="76923C" w:themeColor="accent3" w:themeShade="BF"/>
        </w:rPr>
        <w:t>Financial Responsibilities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Aspect</w:t>
            </w:r>
          </w:p>
        </w:tc>
        <w:tc>
          <w:tcPr>
            <w:tcW w:w="8788" w:type="dxa"/>
          </w:tcPr>
          <w:p w:rsidR="001E6763" w:rsidRPr="001E6763" w:rsidRDefault="001E6763">
            <w:pPr>
              <w:rPr>
                <w:rFonts w:ascii="Calibri" w:hAnsi="Calibri" w:cs="Calibri"/>
                <w:b/>
              </w:rPr>
            </w:pPr>
            <w:r w:rsidRPr="001E6763">
              <w:rPr>
                <w:rFonts w:ascii="Calibri" w:hAnsi="Calibri" w:cs="Calibri"/>
                <w:b/>
              </w:rPr>
              <w:t>Finance Manager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Budgeting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Prepares and monitors budgets,</w:t>
            </w:r>
            <w:r>
              <w:rPr>
                <w:rFonts w:ascii="Calibri" w:hAnsi="Calibri" w:cs="Calibri"/>
              </w:rPr>
              <w:t xml:space="preserve"> </w:t>
            </w:r>
            <w:r w:rsidRPr="00F23AE8">
              <w:rPr>
                <w:rFonts w:ascii="Calibri" w:hAnsi="Calibri" w:cs="Calibri"/>
              </w:rPr>
              <w:t>reconciles income and expenditure</w:t>
            </w:r>
            <w:r w:rsidRPr="00F23AE8">
              <w:rPr>
                <w:rFonts w:ascii="Calibri" w:hAnsi="Calibri" w:cs="Calibri"/>
              </w:rPr>
              <w:t xml:space="preserve"> linked to the School Development Plan; coordinates the annual budget;</w:t>
            </w:r>
            <w:r w:rsidRPr="00F23AE8">
              <w:rPr>
                <w:rFonts w:ascii="Calibri" w:hAnsi="Calibri" w:cs="Calibri"/>
              </w:rPr>
              <w:t xml:space="preserve"> and provides financial reports to management</w:t>
            </w:r>
            <w:r>
              <w:rPr>
                <w:rFonts w:ascii="Calibri" w:hAnsi="Calibri" w:cs="Calibri"/>
              </w:rPr>
              <w:t xml:space="preserve"> and Governors</w:t>
            </w:r>
            <w:r w:rsidRPr="00F23AE8">
              <w:rPr>
                <w:rFonts w:ascii="Calibri" w:hAnsi="Calibri" w:cs="Calibri"/>
              </w:rPr>
              <w:t>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Financial Strategy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Develops business plans for the school’s long-term strategic development.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Compliance</w:t>
            </w:r>
          </w:p>
        </w:tc>
        <w:tc>
          <w:tcPr>
            <w:tcW w:w="8788" w:type="dxa"/>
          </w:tcPr>
          <w:p w:rsidR="001E6763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Ensures compliance with financial regulations in all school transactions.</w:t>
            </w:r>
          </w:p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Ensures school complies with DCSF, LA, and other statutory financial requirements.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Cash Flow / Banking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Oversees financial control and reporting</w:t>
            </w:r>
            <w:r>
              <w:rPr>
                <w:rFonts w:ascii="Calibri" w:hAnsi="Calibri" w:cs="Calibri"/>
              </w:rPr>
              <w:t>, m</w:t>
            </w:r>
            <w:r w:rsidRPr="00F23AE8">
              <w:rPr>
                <w:rFonts w:ascii="Calibri" w:hAnsi="Calibri" w:cs="Calibri"/>
              </w:rPr>
              <w:t>anag</w:t>
            </w:r>
            <w:r>
              <w:rPr>
                <w:rFonts w:ascii="Calibri" w:hAnsi="Calibri" w:cs="Calibri"/>
              </w:rPr>
              <w:t>ing</w:t>
            </w:r>
            <w:r w:rsidRPr="00F23AE8">
              <w:rPr>
                <w:rFonts w:ascii="Calibri" w:hAnsi="Calibri" w:cs="Calibri"/>
              </w:rPr>
              <w:t xml:space="preserve"> cash flow planning, cheque book systems, and bank transactions to maximise interest and avoid charges.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Audit Responsibilities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Ensures overall compliance and good governance in financial management.</w:t>
            </w:r>
          </w:p>
        </w:tc>
      </w:tr>
    </w:tbl>
    <w:p w:rsidR="00A82DB0" w:rsidRPr="00F23AE8" w:rsidRDefault="00A82DB0">
      <w:pPr>
        <w:rPr>
          <w:rFonts w:ascii="Calibri" w:hAnsi="Calibri" w:cs="Calibri"/>
        </w:rPr>
      </w:pPr>
    </w:p>
    <w:p w:rsidR="00A82DB0" w:rsidRPr="007E1F66" w:rsidRDefault="00F23AE8">
      <w:pPr>
        <w:pStyle w:val="Heading2"/>
        <w:rPr>
          <w:rFonts w:ascii="Calibri" w:hAnsi="Calibri" w:cs="Calibri"/>
          <w:color w:val="76923C" w:themeColor="accent3" w:themeShade="BF"/>
        </w:rPr>
      </w:pPr>
      <w:r w:rsidRPr="007E1F66">
        <w:rPr>
          <w:rFonts w:ascii="Calibri" w:hAnsi="Calibri" w:cs="Calibri"/>
          <w:color w:val="76923C" w:themeColor="accent3" w:themeShade="BF"/>
        </w:rPr>
        <w:t>Administrative &amp; HR Responsibilities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Aspect</w:t>
            </w:r>
          </w:p>
        </w:tc>
        <w:tc>
          <w:tcPr>
            <w:tcW w:w="8788" w:type="dxa"/>
          </w:tcPr>
          <w:p w:rsidR="001E6763" w:rsidRPr="001E6763" w:rsidRDefault="001E6763">
            <w:pPr>
              <w:rPr>
                <w:rFonts w:ascii="Calibri" w:hAnsi="Calibri" w:cs="Calibri"/>
                <w:b/>
              </w:rPr>
            </w:pPr>
            <w:r w:rsidRPr="001E6763">
              <w:rPr>
                <w:rFonts w:ascii="Calibri" w:hAnsi="Calibri" w:cs="Calibri"/>
                <w:b/>
              </w:rPr>
              <w:t>Finance Manager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Personnel Processes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Updates payroll and personnel records for starters, leavers, and overtime.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Staff Management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Manages absence cover administration and ensures efficient resource use.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Premises/Income Generation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Oversees lettings of school premises to generate additional income.</w:t>
            </w:r>
            <w:r>
              <w:rPr>
                <w:rFonts w:ascii="Calibri" w:hAnsi="Calibri" w:cs="Calibri"/>
              </w:rPr>
              <w:t xml:space="preserve"> </w:t>
            </w:r>
            <w:r w:rsidRPr="00F23AE8">
              <w:rPr>
                <w:rFonts w:ascii="Calibri" w:hAnsi="Calibri" w:cs="Calibri"/>
              </w:rPr>
              <w:t>Negotiates contracts and tenders for best value.</w:t>
            </w:r>
          </w:p>
        </w:tc>
      </w:tr>
    </w:tbl>
    <w:p w:rsidR="00F23AE8" w:rsidRPr="00F23AE8" w:rsidRDefault="00F23AE8">
      <w:pPr>
        <w:rPr>
          <w:rFonts w:ascii="Calibri" w:hAnsi="Calibri" w:cs="Calibri"/>
        </w:rPr>
      </w:pPr>
    </w:p>
    <w:p w:rsidR="00A82DB0" w:rsidRPr="007E1F66" w:rsidRDefault="00F23AE8">
      <w:pPr>
        <w:pStyle w:val="Heading2"/>
        <w:rPr>
          <w:rFonts w:ascii="Calibri" w:hAnsi="Calibri" w:cs="Calibri"/>
          <w:color w:val="76923C" w:themeColor="accent3" w:themeShade="BF"/>
        </w:rPr>
      </w:pPr>
      <w:r w:rsidRPr="007E1F66">
        <w:rPr>
          <w:rFonts w:ascii="Calibri" w:hAnsi="Calibri" w:cs="Calibri"/>
          <w:color w:val="76923C" w:themeColor="accent3" w:themeShade="BF"/>
        </w:rPr>
        <w:t>Strategic Role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Aspect</w:t>
            </w:r>
          </w:p>
        </w:tc>
        <w:tc>
          <w:tcPr>
            <w:tcW w:w="8788" w:type="dxa"/>
          </w:tcPr>
          <w:p w:rsidR="001E6763" w:rsidRPr="00492124" w:rsidRDefault="001E6763">
            <w:pPr>
              <w:rPr>
                <w:rFonts w:ascii="Calibri" w:hAnsi="Calibri" w:cs="Calibri"/>
                <w:b/>
              </w:rPr>
            </w:pPr>
            <w:r w:rsidRPr="00492124">
              <w:rPr>
                <w:rFonts w:ascii="Calibri" w:hAnsi="Calibri" w:cs="Calibri"/>
                <w:b/>
              </w:rPr>
              <w:t>Finance Manager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Strategic Involvement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 xml:space="preserve">Provides financial data and analysis to support decisions </w:t>
            </w:r>
            <w:r>
              <w:rPr>
                <w:rFonts w:ascii="Calibri" w:hAnsi="Calibri" w:cs="Calibri"/>
              </w:rPr>
              <w:t>by advising the Headteacher, Senior Leaders and Governors.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Decision-Making Level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Operational management — executes financial and administrative processes</w:t>
            </w:r>
            <w:r>
              <w:rPr>
                <w:rFonts w:ascii="Calibri" w:hAnsi="Calibri" w:cs="Calibri"/>
              </w:rPr>
              <w:t xml:space="preserve"> through long-term planning and policy.</w:t>
            </w:r>
          </w:p>
        </w:tc>
      </w:tr>
      <w:tr w:rsidR="001E6763" w:rsidRPr="00F23AE8" w:rsidTr="00492124">
        <w:tc>
          <w:tcPr>
            <w:tcW w:w="2235" w:type="dxa"/>
            <w:shd w:val="clear" w:color="auto" w:fill="76923C" w:themeFill="accent3" w:themeFillShade="BF"/>
          </w:tcPr>
          <w:p w:rsidR="001E6763" w:rsidRPr="00492124" w:rsidRDefault="001E6763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92124">
              <w:rPr>
                <w:rFonts w:ascii="Calibri" w:hAnsi="Calibri" w:cs="Calibri"/>
                <w:b/>
                <w:color w:val="FFFFFF" w:themeColor="background1"/>
              </w:rPr>
              <w:t>Reporting Relationship</w:t>
            </w:r>
          </w:p>
        </w:tc>
        <w:tc>
          <w:tcPr>
            <w:tcW w:w="8788" w:type="dxa"/>
          </w:tcPr>
          <w:p w:rsidR="001E6763" w:rsidRPr="00F23AE8" w:rsidRDefault="001E6763">
            <w:pPr>
              <w:rPr>
                <w:rFonts w:ascii="Calibri" w:hAnsi="Calibri" w:cs="Calibri"/>
              </w:rPr>
            </w:pPr>
            <w:r w:rsidRPr="00F23AE8">
              <w:rPr>
                <w:rFonts w:ascii="Calibri" w:hAnsi="Calibri" w:cs="Calibri"/>
              </w:rPr>
              <w:t>Reports to the Headteacher</w:t>
            </w:r>
            <w:r>
              <w:rPr>
                <w:rFonts w:ascii="Calibri" w:hAnsi="Calibri" w:cs="Calibri"/>
              </w:rPr>
              <w:t xml:space="preserve"> and Senior Leadership Team</w:t>
            </w:r>
            <w:r w:rsidRPr="00F23AE8">
              <w:rPr>
                <w:rFonts w:ascii="Calibri" w:hAnsi="Calibri" w:cs="Calibri"/>
              </w:rPr>
              <w:t>.</w:t>
            </w:r>
          </w:p>
        </w:tc>
      </w:tr>
    </w:tbl>
    <w:p w:rsidR="00A82DB0" w:rsidRPr="00F23AE8" w:rsidRDefault="00A82DB0">
      <w:pPr>
        <w:rPr>
          <w:rFonts w:ascii="Calibri" w:hAnsi="Calibri" w:cs="Calibri"/>
        </w:rPr>
      </w:pPr>
      <w:bookmarkStart w:id="0" w:name="_GoBack"/>
      <w:bookmarkEnd w:id="0"/>
    </w:p>
    <w:sectPr w:rsidR="00A82DB0" w:rsidRPr="00F23AE8" w:rsidSect="00F23A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763"/>
    <w:rsid w:val="0029639D"/>
    <w:rsid w:val="00326F90"/>
    <w:rsid w:val="00492124"/>
    <w:rsid w:val="005902DC"/>
    <w:rsid w:val="007E1F66"/>
    <w:rsid w:val="00A82DB0"/>
    <w:rsid w:val="00AA1D8D"/>
    <w:rsid w:val="00B47730"/>
    <w:rsid w:val="00CB0664"/>
    <w:rsid w:val="00F23A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BAF0A"/>
  <w14:defaultImageDpi w14:val="300"/>
  <w15:docId w15:val="{491525B9-BD47-47C6-9E04-D8F93FB7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04303-0D2D-4B62-A22A-00EE3D1B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Kilburn</cp:lastModifiedBy>
  <cp:revision>3</cp:revision>
  <cp:lastPrinted>2025-11-26T16:34:00Z</cp:lastPrinted>
  <dcterms:created xsi:type="dcterms:W3CDTF">2025-11-26T16:10:00Z</dcterms:created>
  <dcterms:modified xsi:type="dcterms:W3CDTF">2025-11-26T16:35:00Z</dcterms:modified>
  <cp:category/>
</cp:coreProperties>
</file>