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2EFC3802" w14:textId="77777777" w:rsidTr="00197432">
        <w:tc>
          <w:tcPr>
            <w:tcW w:w="8905" w:type="dxa"/>
            <w:tcMar>
              <w:top w:w="85" w:type="dxa"/>
              <w:left w:w="85" w:type="dxa"/>
              <w:bottom w:w="85" w:type="dxa"/>
              <w:right w:w="85" w:type="dxa"/>
            </w:tcMar>
          </w:tcPr>
          <w:p w14:paraId="2EFC3801"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116414" w14:paraId="2EFC3805"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2EFC3803" w14:textId="28F48246" w:rsidR="00D66267" w:rsidRPr="00116414" w:rsidRDefault="00D66267" w:rsidP="009C14AA">
            <w:pPr>
              <w:tabs>
                <w:tab w:val="left" w:pos="352"/>
                <w:tab w:val="left" w:pos="703"/>
                <w:tab w:val="left" w:pos="3045"/>
              </w:tabs>
              <w:spacing w:after="60"/>
              <w:rPr>
                <w:rFonts w:asciiTheme="minorHAnsi" w:hAnsiTheme="minorHAnsi" w:cstheme="minorHAnsi"/>
                <w:sz w:val="22"/>
                <w:szCs w:val="22"/>
              </w:rPr>
            </w:pPr>
            <w:r w:rsidRPr="00116414">
              <w:rPr>
                <w:rFonts w:asciiTheme="minorHAnsi" w:hAnsiTheme="minorHAnsi" w:cstheme="minorHAnsi"/>
                <w:b/>
                <w:sz w:val="22"/>
                <w:szCs w:val="22"/>
              </w:rPr>
              <w:t>Job title:</w:t>
            </w:r>
            <w:r w:rsidR="004F6825">
              <w:rPr>
                <w:rFonts w:asciiTheme="minorHAnsi" w:hAnsiTheme="minorHAnsi" w:cstheme="minorHAnsi"/>
                <w:b/>
                <w:sz w:val="22"/>
                <w:szCs w:val="22"/>
              </w:rPr>
              <w:t xml:space="preserve"> </w:t>
            </w:r>
            <w:r w:rsidR="00B7377A">
              <w:rPr>
                <w:rFonts w:asciiTheme="minorHAnsi" w:hAnsiTheme="minorHAnsi" w:cstheme="minorHAnsi"/>
                <w:b/>
                <w:sz w:val="22"/>
                <w:szCs w:val="22"/>
              </w:rPr>
              <w:t>Food &amp; Technology Teacher</w:t>
            </w:r>
            <w:r w:rsidR="003C0879" w:rsidRPr="00116414">
              <w:rPr>
                <w:rFonts w:asciiTheme="minorHAnsi" w:hAnsiTheme="minorHAnsi" w:cstheme="minorHAnsi"/>
                <w:b/>
                <w:sz w:val="22"/>
                <w:szCs w:val="22"/>
              </w:rPr>
              <w:tab/>
            </w:r>
          </w:p>
        </w:tc>
        <w:tc>
          <w:tcPr>
            <w:tcW w:w="4738" w:type="dxa"/>
            <w:shd w:val="clear" w:color="auto" w:fill="660066"/>
          </w:tcPr>
          <w:p w14:paraId="2EFC3804" w14:textId="5F1922FF" w:rsidR="00D66267" w:rsidRPr="00116414" w:rsidRDefault="00D66267" w:rsidP="009C14AA">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Status:</w:t>
            </w:r>
            <w:r w:rsidRPr="00116414">
              <w:rPr>
                <w:rFonts w:asciiTheme="minorHAnsi" w:hAnsiTheme="minorHAnsi" w:cstheme="minorHAnsi"/>
                <w:sz w:val="22"/>
                <w:szCs w:val="22"/>
              </w:rPr>
              <w:t xml:space="preserve"> </w:t>
            </w:r>
            <w:r w:rsidR="004F6825">
              <w:rPr>
                <w:rFonts w:asciiTheme="minorHAnsi" w:hAnsiTheme="minorHAnsi" w:cstheme="minorHAnsi"/>
                <w:sz w:val="22"/>
                <w:szCs w:val="22"/>
              </w:rPr>
              <w:t>Permanent</w:t>
            </w:r>
          </w:p>
        </w:tc>
      </w:tr>
      <w:tr w:rsidR="00D66267" w:rsidRPr="00116414" w14:paraId="2EFC3808"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2EFC3806" w14:textId="4736844E"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Team:</w:t>
            </w:r>
            <w:r w:rsidRPr="00116414">
              <w:rPr>
                <w:rFonts w:asciiTheme="minorHAnsi" w:hAnsiTheme="minorHAnsi" w:cstheme="minorHAnsi"/>
                <w:sz w:val="22"/>
                <w:szCs w:val="22"/>
              </w:rPr>
              <w:t xml:space="preserve"> </w:t>
            </w:r>
            <w:r w:rsidR="0079533A">
              <w:rPr>
                <w:rFonts w:asciiTheme="minorHAnsi" w:hAnsiTheme="minorHAnsi" w:cstheme="minorHAnsi"/>
                <w:sz w:val="22"/>
                <w:szCs w:val="22"/>
              </w:rPr>
              <w:t xml:space="preserve"> </w:t>
            </w:r>
            <w:r w:rsidR="00B7377A">
              <w:rPr>
                <w:rFonts w:asciiTheme="minorHAnsi" w:hAnsiTheme="minorHAnsi" w:cstheme="minorHAnsi"/>
                <w:b/>
                <w:sz w:val="22"/>
                <w:szCs w:val="22"/>
              </w:rPr>
              <w:t xml:space="preserve">Food &amp; Technology </w:t>
            </w:r>
          </w:p>
        </w:tc>
        <w:tc>
          <w:tcPr>
            <w:tcW w:w="4738" w:type="dxa"/>
          </w:tcPr>
          <w:p w14:paraId="2EFC3807" w14:textId="497361F5"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Reports to: </w:t>
            </w:r>
            <w:r w:rsidR="00116414" w:rsidRPr="00116414">
              <w:rPr>
                <w:rFonts w:asciiTheme="minorHAnsi" w:hAnsiTheme="minorHAnsi" w:cstheme="minorHAnsi"/>
                <w:b/>
                <w:sz w:val="22"/>
                <w:szCs w:val="22"/>
              </w:rPr>
              <w:t xml:space="preserve">Head of </w:t>
            </w:r>
            <w:r w:rsidR="00492248">
              <w:rPr>
                <w:rFonts w:asciiTheme="minorHAnsi" w:hAnsiTheme="minorHAnsi" w:cstheme="minorHAnsi"/>
                <w:b/>
                <w:sz w:val="22"/>
                <w:szCs w:val="22"/>
              </w:rPr>
              <w:t>Department</w:t>
            </w:r>
          </w:p>
        </w:tc>
      </w:tr>
      <w:tr w:rsidR="00D66267" w:rsidRPr="00116414" w14:paraId="2EFC380B" w14:textId="77777777" w:rsidTr="00D66267">
        <w:tc>
          <w:tcPr>
            <w:tcW w:w="4533" w:type="dxa"/>
          </w:tcPr>
          <w:p w14:paraId="2EFC3809" w14:textId="77777777" w:rsidR="00D66267" w:rsidRPr="00116414" w:rsidRDefault="00D66267" w:rsidP="00D66267">
            <w:pPr>
              <w:tabs>
                <w:tab w:val="left" w:pos="352"/>
                <w:tab w:val="left" w:pos="703"/>
                <w:tab w:val="left" w:pos="1055"/>
                <w:tab w:val="left" w:pos="1406"/>
              </w:tabs>
              <w:spacing w:after="60"/>
              <w:rPr>
                <w:rFonts w:asciiTheme="minorHAnsi" w:hAnsiTheme="minorHAnsi" w:cstheme="minorHAnsi"/>
                <w:sz w:val="22"/>
                <w:szCs w:val="22"/>
              </w:rPr>
            </w:pPr>
          </w:p>
        </w:tc>
        <w:tc>
          <w:tcPr>
            <w:tcW w:w="4738" w:type="dxa"/>
          </w:tcPr>
          <w:p w14:paraId="2EFC380A" w14:textId="757D034C" w:rsidR="00D66267" w:rsidRPr="00116414" w:rsidRDefault="00D66267" w:rsidP="008C6BE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Direct reports:</w:t>
            </w:r>
            <w:r w:rsidRPr="00116414">
              <w:rPr>
                <w:rFonts w:asciiTheme="minorHAnsi" w:hAnsiTheme="minorHAnsi" w:cstheme="minorHAnsi"/>
                <w:sz w:val="22"/>
                <w:szCs w:val="22"/>
              </w:rPr>
              <w:t xml:space="preserve"> </w:t>
            </w:r>
            <w:r w:rsidR="00492248">
              <w:rPr>
                <w:rFonts w:asciiTheme="minorHAnsi" w:hAnsiTheme="minorHAnsi" w:cstheme="minorHAnsi"/>
                <w:sz w:val="22"/>
                <w:szCs w:val="22"/>
              </w:rPr>
              <w:t>No</w:t>
            </w:r>
          </w:p>
        </w:tc>
      </w:tr>
      <w:tr w:rsidR="00D66267" w:rsidRPr="00116414" w14:paraId="2EFC380E"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2EFC380C" w14:textId="117E8C1D" w:rsidR="00D66267" w:rsidRPr="00116414" w:rsidRDefault="00D66267" w:rsidP="00172B97">
            <w:pPr>
              <w:tabs>
                <w:tab w:val="left" w:pos="352"/>
                <w:tab w:val="left" w:pos="703"/>
                <w:tab w:val="left" w:pos="1055"/>
                <w:tab w:val="left" w:pos="1406"/>
              </w:tabs>
              <w:spacing w:after="60"/>
              <w:rPr>
                <w:rFonts w:asciiTheme="minorHAnsi" w:hAnsiTheme="minorHAnsi" w:cstheme="minorHAnsi"/>
                <w:b/>
                <w:sz w:val="22"/>
                <w:szCs w:val="22"/>
              </w:rPr>
            </w:pPr>
            <w:r w:rsidRPr="00116414">
              <w:rPr>
                <w:rFonts w:asciiTheme="minorHAnsi" w:hAnsiTheme="minorHAnsi" w:cstheme="minorHAnsi"/>
                <w:b/>
                <w:sz w:val="22"/>
                <w:szCs w:val="22"/>
              </w:rPr>
              <w:t xml:space="preserve">Department: </w:t>
            </w:r>
            <w:r w:rsidR="00B7377A">
              <w:rPr>
                <w:rFonts w:asciiTheme="minorHAnsi" w:hAnsiTheme="minorHAnsi" w:cstheme="minorHAnsi"/>
                <w:b/>
                <w:sz w:val="22"/>
                <w:szCs w:val="22"/>
              </w:rPr>
              <w:t xml:space="preserve">Food &amp; Technology </w:t>
            </w:r>
          </w:p>
        </w:tc>
        <w:tc>
          <w:tcPr>
            <w:tcW w:w="4738" w:type="dxa"/>
          </w:tcPr>
          <w:p w14:paraId="2EFC380D" w14:textId="77777777" w:rsidR="00D66267" w:rsidRPr="00116414" w:rsidRDefault="00D66267" w:rsidP="00172B97">
            <w:pPr>
              <w:tabs>
                <w:tab w:val="left" w:pos="352"/>
                <w:tab w:val="left" w:pos="703"/>
                <w:tab w:val="left" w:pos="1055"/>
                <w:tab w:val="left" w:pos="1406"/>
              </w:tabs>
              <w:spacing w:after="60"/>
              <w:rPr>
                <w:rFonts w:asciiTheme="minorHAnsi" w:hAnsiTheme="minorHAnsi" w:cstheme="minorHAnsi"/>
                <w:sz w:val="22"/>
                <w:szCs w:val="22"/>
              </w:rPr>
            </w:pPr>
            <w:r w:rsidRPr="00116414">
              <w:rPr>
                <w:rFonts w:asciiTheme="minorHAnsi" w:hAnsiTheme="minorHAnsi" w:cstheme="minorHAnsi"/>
                <w:b/>
                <w:sz w:val="22"/>
                <w:szCs w:val="22"/>
              </w:rPr>
              <w:t xml:space="preserve">Departmental budget holder: </w:t>
            </w:r>
            <w:r w:rsidR="00116414" w:rsidRPr="00116414">
              <w:rPr>
                <w:rFonts w:asciiTheme="minorHAnsi" w:hAnsiTheme="minorHAnsi" w:cstheme="minorHAnsi"/>
                <w:b/>
                <w:sz w:val="22"/>
                <w:szCs w:val="22"/>
              </w:rPr>
              <w:t>N/A</w:t>
            </w:r>
          </w:p>
        </w:tc>
      </w:tr>
    </w:tbl>
    <w:p w14:paraId="2EFC380F" w14:textId="77777777" w:rsidR="00CB3189" w:rsidRPr="00116414" w:rsidRDefault="00CB3189" w:rsidP="00CB3189">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context:</w:t>
      </w:r>
    </w:p>
    <w:p w14:paraId="2EFC3810" w14:textId="77777777" w:rsidR="00046A40" w:rsidRPr="00116414" w:rsidRDefault="003C0879" w:rsidP="003C0879">
      <w:pPr>
        <w:spacing w:after="100" w:afterAutospacing="1"/>
        <w:outlineLvl w:val="1"/>
        <w:rPr>
          <w:rFonts w:asciiTheme="minorHAnsi" w:hAnsiTheme="minorHAnsi" w:cstheme="minorHAnsi"/>
          <w:sz w:val="22"/>
          <w:szCs w:val="22"/>
          <w:lang w:val="en-GB" w:eastAsia="en-GB"/>
        </w:rPr>
      </w:pPr>
      <w:r w:rsidRPr="00116414">
        <w:rPr>
          <w:rFonts w:asciiTheme="minorHAnsi" w:hAnsiTheme="minorHAnsi" w:cstheme="minorHAnsi"/>
          <w:b/>
          <w:bCs/>
          <w:sz w:val="22"/>
          <w:szCs w:val="22"/>
          <w:lang w:val="en-GB" w:eastAsia="en-GB"/>
        </w:rPr>
        <w:t xml:space="preserve">Our purpose: </w:t>
      </w:r>
      <w:r w:rsidRPr="00116414">
        <w:rPr>
          <w:rFonts w:asciiTheme="minorHAnsi" w:hAnsiTheme="minorHAnsi" w:cstheme="minorHAnsi"/>
          <w:sz w:val="22"/>
          <w:szCs w:val="22"/>
          <w:lang w:val="en-GB" w:eastAsia="en-GB"/>
        </w:rPr>
        <w:t xml:space="preserve">To inspire our family of schools to provide opportunities for our pupils, staff and leaders to be the best they can be; to create a passion for lifelong learning; to enable our pupils to become confident and impactful world citizens. </w:t>
      </w:r>
    </w:p>
    <w:p w14:paraId="2EFC3811" w14:textId="77777777" w:rsidR="009F3DED" w:rsidRDefault="00CB3189" w:rsidP="00280C58">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Position purpose:</w:t>
      </w:r>
    </w:p>
    <w:p w14:paraId="2EFC3812" w14:textId="77777777" w:rsidR="00116414" w:rsidRPr="00116414" w:rsidRDefault="00116414" w:rsidP="00280C58">
      <w:pPr>
        <w:tabs>
          <w:tab w:val="left" w:pos="352"/>
          <w:tab w:val="left" w:pos="703"/>
          <w:tab w:val="left" w:pos="1055"/>
          <w:tab w:val="left" w:pos="1406"/>
        </w:tabs>
        <w:spacing w:before="60" w:after="120"/>
        <w:rPr>
          <w:rFonts w:asciiTheme="minorHAnsi" w:hAnsiTheme="minorHAnsi" w:cstheme="minorHAnsi"/>
          <w:b/>
          <w:sz w:val="22"/>
          <w:szCs w:val="22"/>
        </w:rPr>
      </w:pPr>
      <w:r>
        <w:rPr>
          <w:rFonts w:asciiTheme="minorHAnsi" w:hAnsiTheme="minorHAnsi" w:cstheme="minorHAnsi"/>
          <w:sz w:val="22"/>
          <w:szCs w:val="22"/>
        </w:rPr>
        <w:t>To promote effective learning, appropriate student achievement and educational, social and personal progress of all pupils whom the teacher is designated as being responsible, consistent with the aims of the school, the Department and the unique needs of each individual.</w:t>
      </w:r>
    </w:p>
    <w:p w14:paraId="2EFC3813" w14:textId="77777777" w:rsidR="00B1325E" w:rsidRPr="00116414" w:rsidRDefault="00B1325E" w:rsidP="00F81FA2">
      <w:pPr>
        <w:tabs>
          <w:tab w:val="left" w:pos="352"/>
          <w:tab w:val="left" w:pos="703"/>
          <w:tab w:val="left" w:pos="1055"/>
          <w:tab w:val="left" w:pos="1406"/>
        </w:tabs>
        <w:spacing w:after="120"/>
        <w:rPr>
          <w:rFonts w:asciiTheme="minorHAnsi" w:hAnsiTheme="minorHAnsi" w:cstheme="minorHAnsi"/>
          <w:b/>
          <w:sz w:val="22"/>
          <w:szCs w:val="22"/>
        </w:rPr>
      </w:pPr>
    </w:p>
    <w:p w14:paraId="2EFC3814" w14:textId="77777777" w:rsidR="00197432" w:rsidRPr="00116414" w:rsidRDefault="00B66F99" w:rsidP="00F81FA2">
      <w:pPr>
        <w:tabs>
          <w:tab w:val="left" w:pos="352"/>
          <w:tab w:val="left" w:pos="703"/>
          <w:tab w:val="left" w:pos="1055"/>
          <w:tab w:val="left" w:pos="1406"/>
        </w:tabs>
        <w:spacing w:after="120"/>
        <w:rPr>
          <w:rFonts w:asciiTheme="minorHAnsi" w:hAnsiTheme="minorHAnsi" w:cstheme="minorHAnsi"/>
          <w:b/>
          <w:sz w:val="22"/>
          <w:szCs w:val="22"/>
        </w:rPr>
      </w:pPr>
      <w:r w:rsidRPr="00116414">
        <w:rPr>
          <w:rFonts w:asciiTheme="minorHAnsi" w:hAnsiTheme="minorHAnsi" w:cstheme="minorHAnsi"/>
          <w:b/>
          <w:sz w:val="22"/>
          <w:szCs w:val="22"/>
        </w:rPr>
        <w:t>Position a</w:t>
      </w:r>
      <w:r w:rsidR="00197432" w:rsidRPr="00116414">
        <w:rPr>
          <w:rFonts w:asciiTheme="minorHAnsi" w:hAnsiTheme="minorHAnsi" w:cstheme="minorHAnsi"/>
          <w:b/>
          <w:sz w:val="22"/>
          <w:szCs w:val="22"/>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116414" w14:paraId="2EFC3817" w14:textId="77777777" w:rsidTr="00165260">
        <w:trPr>
          <w:cnfStyle w:val="100000000000" w:firstRow="1" w:lastRow="0" w:firstColumn="0" w:lastColumn="0" w:oddVBand="0" w:evenVBand="0" w:oddHBand="0" w:evenHBand="0" w:firstRowFirstColumn="0" w:firstRowLastColumn="0" w:lastRowFirstColumn="0" w:lastRowLastColumn="0"/>
          <w:cantSplit w:val="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EFC3815" w14:textId="77777777" w:rsidR="00197432" w:rsidRPr="00116414" w:rsidRDefault="000A00D3" w:rsidP="00197432">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2EFC3816" w14:textId="77777777" w:rsidR="00197432" w:rsidRPr="00116414" w:rsidRDefault="00197432" w:rsidP="00D175AB">
            <w:pPr>
              <w:tabs>
                <w:tab w:val="left" w:pos="352"/>
                <w:tab w:val="left" w:pos="703"/>
                <w:tab w:val="left" w:pos="1055"/>
                <w:tab w:val="left" w:pos="1406"/>
              </w:tabs>
              <w:spacing w:after="120"/>
              <w:rPr>
                <w:rFonts w:asciiTheme="minorHAnsi" w:hAnsiTheme="minorHAnsi" w:cstheme="minorHAnsi"/>
                <w:b/>
                <w:color w:val="FFFFFF"/>
                <w:sz w:val="22"/>
                <w:szCs w:val="22"/>
              </w:rPr>
            </w:pPr>
            <w:r w:rsidRPr="00116414">
              <w:rPr>
                <w:rFonts w:asciiTheme="minorHAnsi" w:hAnsiTheme="minorHAnsi" w:cstheme="minorHAnsi"/>
                <w:b/>
                <w:color w:val="FFFFFF"/>
                <w:sz w:val="22"/>
                <w:szCs w:val="22"/>
              </w:rPr>
              <w:t xml:space="preserve">Key activities </w:t>
            </w:r>
          </w:p>
        </w:tc>
      </w:tr>
      <w:tr w:rsidR="00945CDC" w:rsidRPr="00116414" w14:paraId="2EFC381C"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EFC3818" w14:textId="77777777" w:rsidR="00945CDC" w:rsidRPr="00116414" w:rsidRDefault="00945CDC"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Strategy</w:t>
            </w:r>
          </w:p>
        </w:tc>
        <w:tc>
          <w:tcPr>
            <w:tcW w:w="7092" w:type="dxa"/>
          </w:tcPr>
          <w:p w14:paraId="2EFC3819" w14:textId="77777777" w:rsidR="00046A40"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Is aware of and understands the ELAT Vision, Mission and Values</w:t>
            </w:r>
          </w:p>
          <w:p w14:paraId="2EFC381A" w14:textId="77777777" w:rsidR="00B84E29" w:rsidRDefault="00B84E29"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Will make a positive contribution to the teaching and learning programme in accordance with the ethos, aims and objectives of the school.</w:t>
            </w:r>
          </w:p>
          <w:p w14:paraId="2EFC381B" w14:textId="77777777" w:rsidR="004725CA" w:rsidRPr="00116414" w:rsidRDefault="004725CA" w:rsidP="00BE2798">
            <w:pPr>
              <w:numPr>
                <w:ilvl w:val="1"/>
                <w:numId w:val="16"/>
              </w:numPr>
              <w:tabs>
                <w:tab w:val="clear" w:pos="644"/>
                <w:tab w:val="num" w:pos="313"/>
              </w:tabs>
              <w:spacing w:after="60"/>
              <w:ind w:left="312" w:hanging="284"/>
              <w:rPr>
                <w:rFonts w:asciiTheme="minorHAnsi" w:hAnsiTheme="minorHAnsi" w:cstheme="minorHAnsi"/>
                <w:sz w:val="22"/>
                <w:szCs w:val="22"/>
              </w:rPr>
            </w:pPr>
            <w:r>
              <w:rPr>
                <w:rFonts w:asciiTheme="minorHAnsi" w:hAnsiTheme="minorHAnsi" w:cstheme="minorHAnsi"/>
                <w:sz w:val="22"/>
                <w:szCs w:val="22"/>
              </w:rPr>
              <w:t>To fulfil all of the responsibilities and duties required by the Academy’s policies on Teaching and Learning.</w:t>
            </w:r>
          </w:p>
        </w:tc>
      </w:tr>
      <w:tr w:rsidR="001D093D" w:rsidRPr="00116414" w14:paraId="2EFC3821" w14:textId="77777777" w:rsidTr="00165260">
        <w:trPr>
          <w:cantSplit w:val="0"/>
        </w:trPr>
        <w:tc>
          <w:tcPr>
            <w:tcW w:w="2037" w:type="dxa"/>
          </w:tcPr>
          <w:p w14:paraId="2EFC381D" w14:textId="77777777" w:rsidR="00A61A1B"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 xml:space="preserve">Planning </w:t>
            </w:r>
          </w:p>
        </w:tc>
        <w:tc>
          <w:tcPr>
            <w:tcW w:w="7092" w:type="dxa"/>
          </w:tcPr>
          <w:p w14:paraId="2EFC381E" w14:textId="77777777" w:rsidR="00296C00"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Plan work to meet the learning needs of allocated pupils in a consistent and effective way.</w:t>
            </w:r>
          </w:p>
          <w:p w14:paraId="2EFC381F" w14:textId="77777777" w:rsidR="00116414" w:rsidRDefault="00116414"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To assist the Director of Faculty to ensure that the curriculum area provides a range of teaching which compliments the Academy’s strategic objectives.</w:t>
            </w:r>
          </w:p>
          <w:p w14:paraId="2EFC3820" w14:textId="77777777" w:rsidR="004725CA" w:rsidRPr="00116414" w:rsidRDefault="004725CA" w:rsidP="00BE2798">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Develop and maintain up-to-date knowledge and understanding of the areas of teaching and student support for which post-holder is responsible.</w:t>
            </w:r>
          </w:p>
        </w:tc>
      </w:tr>
      <w:tr w:rsidR="001D093D" w:rsidRPr="00116414" w14:paraId="2EFC3828"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EFC3822" w14:textId="77777777"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Delivery</w:t>
            </w:r>
          </w:p>
        </w:tc>
        <w:tc>
          <w:tcPr>
            <w:tcW w:w="7092" w:type="dxa"/>
          </w:tcPr>
          <w:p w14:paraId="2EFC3823" w14:textId="77777777" w:rsidR="00661827" w:rsidRDefault="00116414"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Use appropriate leaching and classroom management strategies to motivate pupils and enable each to progress appropriately.</w:t>
            </w:r>
          </w:p>
          <w:p w14:paraId="2EFC3824" w14:textId="77777777" w:rsidR="00B84E29" w:rsidRDefault="00B84E29"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Monitor the progress of students for whom the post holder is responsible to set expectations and give constructive feedback.</w:t>
            </w:r>
          </w:p>
          <w:p w14:paraId="2EFC3825" w14:textId="77777777" w:rsidR="00B84E29"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To participate in and contribute to department/Academy’s extra-curricular programme</w:t>
            </w:r>
          </w:p>
          <w:p w14:paraId="2EFC3826" w14:textId="77777777" w:rsidR="004725CA"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lastRenderedPageBreak/>
              <w:t>Monitor the progress of students for whom the post holder is responsible to set expectations and give constructive feedback.</w:t>
            </w:r>
          </w:p>
          <w:p w14:paraId="2EFC3827" w14:textId="77777777" w:rsidR="004725CA" w:rsidRPr="00116414" w:rsidRDefault="004725CA" w:rsidP="004725C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Make an active contribution to the policies and aspirations of the Academy</w:t>
            </w:r>
          </w:p>
        </w:tc>
      </w:tr>
      <w:tr w:rsidR="00C036B7" w:rsidRPr="00116414" w14:paraId="2EFC382D" w14:textId="77777777" w:rsidTr="00165260">
        <w:trPr>
          <w:cantSplit w:val="0"/>
        </w:trPr>
        <w:tc>
          <w:tcPr>
            <w:tcW w:w="2037" w:type="dxa"/>
          </w:tcPr>
          <w:p w14:paraId="2EFC3829" w14:textId="77777777" w:rsidR="00E85672" w:rsidRPr="00116414" w:rsidRDefault="00E85672"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lastRenderedPageBreak/>
              <w:t xml:space="preserve">People Management / Organisational Development </w:t>
            </w:r>
          </w:p>
        </w:tc>
        <w:tc>
          <w:tcPr>
            <w:tcW w:w="7092" w:type="dxa"/>
          </w:tcPr>
          <w:p w14:paraId="2EFC382A" w14:textId="77777777" w:rsidR="00661827" w:rsidRDefault="004725CA"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achieve any performance criteria or targets arising from the Academy’s Performance Management arrangements</w:t>
            </w:r>
          </w:p>
          <w:p w14:paraId="2EFC382B" w14:textId="77777777" w:rsidR="00B84E29" w:rsidRDefault="00B84E29"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 xml:space="preserve">To </w:t>
            </w:r>
            <w:r w:rsidR="0079533A">
              <w:rPr>
                <w:rFonts w:asciiTheme="minorHAnsi" w:hAnsiTheme="minorHAnsi" w:cstheme="minorHAnsi"/>
                <w:sz w:val="22"/>
                <w:szCs w:val="22"/>
              </w:rPr>
              <w:t>maintain required level of CPD</w:t>
            </w:r>
          </w:p>
          <w:p w14:paraId="2EFC382C" w14:textId="77777777" w:rsidR="004725CA" w:rsidRPr="00116414" w:rsidRDefault="004725CA" w:rsidP="00BE2798">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To fulfil all of the requirements and duties set out in the current Pay and Conditions Documents relating to the conditions of employment of teachers.</w:t>
            </w:r>
          </w:p>
        </w:tc>
      </w:tr>
      <w:tr w:rsidR="00C036B7" w:rsidRPr="00116414" w14:paraId="2EFC3835"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EFC382E" w14:textId="77777777" w:rsidR="007A771A" w:rsidRPr="00116414" w:rsidRDefault="007A771A"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Information Management and Reporting</w:t>
            </w:r>
          </w:p>
        </w:tc>
        <w:tc>
          <w:tcPr>
            <w:tcW w:w="7092" w:type="dxa"/>
          </w:tcPr>
          <w:p w14:paraId="2EFC382F" w14:textId="77777777" w:rsidR="0079533A" w:rsidRP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Maintain appropriate records to demonstrate progress made by students</w:t>
            </w:r>
            <w:r w:rsidR="0079533A" w:rsidRPr="0079533A">
              <w:rPr>
                <w:rFonts w:asciiTheme="minorHAnsi" w:hAnsiTheme="minorHAnsi" w:cstheme="minorHAnsi"/>
                <w:sz w:val="22"/>
                <w:szCs w:val="22"/>
              </w:rPr>
              <w:t>.</w:t>
            </w:r>
          </w:p>
          <w:p w14:paraId="2EFC3830" w14:textId="77777777" w:rsidR="0079533A" w:rsidRDefault="00B84E29" w:rsidP="0079533A">
            <w:pPr>
              <w:pStyle w:val="ListParagraph"/>
              <w:numPr>
                <w:ilvl w:val="0"/>
                <w:numId w:val="32"/>
              </w:numPr>
              <w:ind w:left="360"/>
              <w:rPr>
                <w:rFonts w:asciiTheme="minorHAnsi" w:hAnsiTheme="minorHAnsi" w:cstheme="minorHAnsi"/>
                <w:sz w:val="22"/>
                <w:szCs w:val="22"/>
              </w:rPr>
            </w:pPr>
            <w:r w:rsidRPr="0079533A">
              <w:rPr>
                <w:rFonts w:asciiTheme="minorHAnsi" w:hAnsiTheme="minorHAnsi" w:cstheme="minorHAnsi"/>
                <w:sz w:val="22"/>
                <w:szCs w:val="22"/>
              </w:rPr>
              <w:t xml:space="preserve">Safeguarding and Promoting </w:t>
            </w:r>
            <w:r w:rsidR="0079533A" w:rsidRPr="0079533A">
              <w:rPr>
                <w:rFonts w:asciiTheme="minorHAnsi" w:hAnsiTheme="minorHAnsi" w:cstheme="minorHAnsi"/>
                <w:sz w:val="22"/>
                <w:szCs w:val="22"/>
              </w:rPr>
              <w:t>the Welfare of Students working with the Designated Protection Person the post holder will:</w:t>
            </w:r>
          </w:p>
          <w:p w14:paraId="2EFC3831" w14:textId="77777777" w:rsidR="0079533A" w:rsidRPr="0079533A" w:rsidRDefault="0079533A" w:rsidP="0079533A">
            <w:pPr>
              <w:pStyle w:val="ListParagraph"/>
              <w:ind w:left="360"/>
              <w:rPr>
                <w:rFonts w:asciiTheme="minorHAnsi" w:hAnsiTheme="minorHAnsi" w:cstheme="minorHAnsi"/>
                <w:sz w:val="22"/>
                <w:szCs w:val="22"/>
              </w:rPr>
            </w:pPr>
          </w:p>
          <w:p w14:paraId="2EFC3832" w14:textId="77777777" w:rsidR="0079533A" w:rsidRP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Identify and record any child protection concerns</w:t>
            </w:r>
          </w:p>
          <w:p w14:paraId="2EFC3833" w14:textId="77777777" w:rsidR="0079533A" w:rsidRDefault="0079533A" w:rsidP="00090C2E">
            <w:pPr>
              <w:pStyle w:val="ListParagraph"/>
              <w:numPr>
                <w:ilvl w:val="0"/>
                <w:numId w:val="32"/>
              </w:numPr>
              <w:rPr>
                <w:rFonts w:asciiTheme="minorHAnsi" w:hAnsiTheme="minorHAnsi" w:cstheme="minorHAnsi"/>
                <w:sz w:val="22"/>
                <w:szCs w:val="22"/>
              </w:rPr>
            </w:pPr>
            <w:r w:rsidRPr="0079533A">
              <w:rPr>
                <w:rFonts w:asciiTheme="minorHAnsi" w:hAnsiTheme="minorHAnsi" w:cstheme="minorHAnsi"/>
                <w:sz w:val="22"/>
                <w:szCs w:val="22"/>
              </w:rPr>
              <w:t>Contribute information as required for Common Assessment or Multi- Agency meetings</w:t>
            </w:r>
          </w:p>
          <w:p w14:paraId="2EFC3834" w14:textId="77777777" w:rsidR="0079533A" w:rsidRPr="00B84E29" w:rsidRDefault="0079533A" w:rsidP="00090C2E">
            <w:pPr>
              <w:pStyle w:val="ListParagraph"/>
              <w:numPr>
                <w:ilvl w:val="0"/>
                <w:numId w:val="32"/>
              </w:numPr>
              <w:rPr>
                <w:rFonts w:asciiTheme="minorHAnsi" w:hAnsiTheme="minorHAnsi" w:cstheme="minorHAnsi"/>
              </w:rPr>
            </w:pPr>
            <w:r>
              <w:rPr>
                <w:rFonts w:asciiTheme="minorHAnsi" w:hAnsiTheme="minorHAnsi" w:cstheme="minorHAnsi"/>
                <w:sz w:val="22"/>
                <w:szCs w:val="22"/>
              </w:rPr>
              <w:t>Act at all times in line with the school’s Child Protection procedures.</w:t>
            </w:r>
          </w:p>
        </w:tc>
      </w:tr>
      <w:tr w:rsidR="00AC4B29" w:rsidRPr="00116414" w14:paraId="2EFC3838" w14:textId="77777777" w:rsidTr="00165260">
        <w:trPr>
          <w:cantSplit w:val="0"/>
        </w:trPr>
        <w:tc>
          <w:tcPr>
            <w:tcW w:w="2037" w:type="dxa"/>
          </w:tcPr>
          <w:p w14:paraId="2EFC3836" w14:textId="77777777" w:rsidR="00AC4B29" w:rsidRPr="00116414" w:rsidRDefault="00AC4B29"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Data Protection</w:t>
            </w:r>
          </w:p>
        </w:tc>
        <w:tc>
          <w:tcPr>
            <w:tcW w:w="7092" w:type="dxa"/>
          </w:tcPr>
          <w:p w14:paraId="2EFC3837" w14:textId="77777777" w:rsidR="00AC4B29" w:rsidRPr="00116414" w:rsidRDefault="00AC4B29" w:rsidP="00172B97">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rPr>
            </w:pPr>
            <w:r w:rsidRPr="00116414">
              <w:rPr>
                <w:rFonts w:asciiTheme="minorHAnsi" w:hAnsiTheme="minorHAnsi" w:cstheme="minorHAnsi"/>
                <w:color w:val="000000"/>
                <w:sz w:val="22"/>
                <w:szCs w:val="22"/>
              </w:rPr>
              <w:t xml:space="preserve">All staff have a responsibility under the </w:t>
            </w:r>
            <w:r w:rsidR="00172B97" w:rsidRPr="00116414">
              <w:rPr>
                <w:rFonts w:asciiTheme="minorHAnsi" w:hAnsiTheme="minorHAnsi" w:cstheme="minorHAnsi"/>
                <w:color w:val="000000"/>
                <w:sz w:val="22"/>
                <w:szCs w:val="22"/>
              </w:rPr>
              <w:t xml:space="preserve">2018 (GDPR) </w:t>
            </w:r>
            <w:r w:rsidRPr="00116414">
              <w:rPr>
                <w:rFonts w:asciiTheme="minorHAnsi" w:hAnsiTheme="minorHAnsi" w:cstheme="minorHAnsi"/>
                <w:color w:val="000000"/>
                <w:sz w:val="22"/>
                <w:szCs w:val="22"/>
              </w:rPr>
              <w:t xml:space="preserve">Data Protection Act to ensure that their activities comply with the Data Protection Principles. Staff should not disclose personal data outside the </w:t>
            </w:r>
            <w:r w:rsidR="00172B97" w:rsidRPr="00116414">
              <w:rPr>
                <w:rFonts w:asciiTheme="minorHAnsi" w:hAnsiTheme="minorHAnsi" w:cstheme="minorHAnsi"/>
                <w:color w:val="000000"/>
                <w:sz w:val="22"/>
                <w:szCs w:val="22"/>
              </w:rPr>
              <w:t>Trust</w:t>
            </w:r>
            <w:r w:rsidRPr="00116414">
              <w:rPr>
                <w:rFonts w:asciiTheme="minorHAnsi" w:hAnsiTheme="minorHAnsi" w:cstheme="minorHAnsi"/>
                <w:color w:val="000000"/>
                <w:sz w:val="22"/>
                <w:szCs w:val="22"/>
              </w:rPr>
              <w:t>’s procedures, or use personal data held on others for their own purposes.</w:t>
            </w:r>
          </w:p>
        </w:tc>
      </w:tr>
      <w:tr w:rsidR="00BB62A1" w:rsidRPr="00116414" w14:paraId="2EFC383B" w14:textId="77777777" w:rsidTr="00165260">
        <w:trPr>
          <w:cnfStyle w:val="000000100000" w:firstRow="0" w:lastRow="0" w:firstColumn="0" w:lastColumn="0" w:oddVBand="0" w:evenVBand="0" w:oddHBand="1" w:evenHBand="0" w:firstRowFirstColumn="0" w:firstRowLastColumn="0" w:lastRowFirstColumn="0" w:lastRowLastColumn="0"/>
          <w:cantSplit w:val="0"/>
          <w:trHeight w:val="610"/>
        </w:trPr>
        <w:tc>
          <w:tcPr>
            <w:tcW w:w="2037" w:type="dxa"/>
          </w:tcPr>
          <w:p w14:paraId="2EFC3839" w14:textId="77777777" w:rsidR="00CA1375" w:rsidRPr="00116414" w:rsidRDefault="00CA1375"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Health and Safety</w:t>
            </w:r>
          </w:p>
        </w:tc>
        <w:tc>
          <w:tcPr>
            <w:tcW w:w="7092" w:type="dxa"/>
          </w:tcPr>
          <w:p w14:paraId="2EFC383A" w14:textId="77777777" w:rsidR="00CA1375" w:rsidRPr="00116414" w:rsidRDefault="00594BD2" w:rsidP="00BE2798">
            <w:pPr>
              <w:numPr>
                <w:ilvl w:val="1"/>
                <w:numId w:val="6"/>
              </w:numPr>
              <w:tabs>
                <w:tab w:val="clear" w:pos="644"/>
                <w:tab w:val="left" w:pos="373"/>
              </w:tabs>
              <w:autoSpaceDE w:val="0"/>
              <w:autoSpaceDN w:val="0"/>
              <w:adjustRightInd w:val="0"/>
              <w:ind w:left="373" w:hanging="283"/>
              <w:rPr>
                <w:rFonts w:asciiTheme="minorHAnsi" w:hAnsiTheme="minorHAnsi" w:cstheme="minorHAnsi"/>
                <w:sz w:val="22"/>
                <w:szCs w:val="22"/>
                <w:lang w:eastAsia="en-AU"/>
              </w:rPr>
            </w:pPr>
            <w:r w:rsidRPr="00116414">
              <w:rPr>
                <w:rFonts w:asciiTheme="minorHAnsi" w:hAnsiTheme="minorHAnsi" w:cstheme="minorHAnsi"/>
                <w:sz w:val="22"/>
                <w:szCs w:val="22"/>
              </w:rPr>
              <w:t>Hold</w:t>
            </w:r>
            <w:r w:rsidR="00271926" w:rsidRPr="00116414">
              <w:rPr>
                <w:rFonts w:asciiTheme="minorHAnsi" w:hAnsiTheme="minorHAnsi" w:cstheme="minorHAnsi"/>
                <w:sz w:val="22"/>
                <w:szCs w:val="22"/>
              </w:rPr>
              <w:t xml:space="preserve"> responsibility to avoid</w:t>
            </w:r>
            <w:r w:rsidR="00DB75D2" w:rsidRPr="00116414">
              <w:rPr>
                <w:rFonts w:asciiTheme="minorHAnsi" w:hAnsiTheme="minorHAnsi" w:cstheme="minorHAnsi"/>
                <w:sz w:val="22"/>
                <w:szCs w:val="22"/>
              </w:rPr>
              <w:t xml:space="preserve"> action that could t</w:t>
            </w:r>
            <w:r w:rsidR="00271926" w:rsidRPr="00116414">
              <w:rPr>
                <w:rFonts w:asciiTheme="minorHAnsi" w:hAnsiTheme="minorHAnsi" w:cstheme="minorHAnsi"/>
                <w:sz w:val="22"/>
                <w:szCs w:val="22"/>
              </w:rPr>
              <w:t>hreaten the health or safety of themselves</w:t>
            </w:r>
            <w:r w:rsidR="00DB75D2" w:rsidRPr="00116414">
              <w:rPr>
                <w:rFonts w:asciiTheme="minorHAnsi" w:hAnsiTheme="minorHAnsi" w:cstheme="minorHAnsi"/>
                <w:sz w:val="22"/>
                <w:szCs w:val="22"/>
              </w:rPr>
              <w:t>, other employees, customers or members of the public.</w:t>
            </w:r>
          </w:p>
        </w:tc>
      </w:tr>
      <w:tr w:rsidR="00982DA3" w:rsidRPr="00116414" w14:paraId="2EFC383E" w14:textId="77777777" w:rsidTr="00165260">
        <w:trPr>
          <w:cantSplit w:val="0"/>
        </w:trPr>
        <w:tc>
          <w:tcPr>
            <w:tcW w:w="2037" w:type="dxa"/>
          </w:tcPr>
          <w:p w14:paraId="2EFC383C" w14:textId="77777777" w:rsidR="00982DA3" w:rsidRPr="00116414" w:rsidRDefault="00982DA3" w:rsidP="00BE2798">
            <w:pPr>
              <w:tabs>
                <w:tab w:val="left" w:pos="352"/>
                <w:tab w:val="left" w:pos="703"/>
                <w:tab w:val="left" w:pos="1055"/>
                <w:tab w:val="left" w:pos="1406"/>
              </w:tabs>
              <w:rPr>
                <w:rFonts w:asciiTheme="minorHAnsi" w:hAnsiTheme="minorHAnsi" w:cstheme="minorHAnsi"/>
                <w:sz w:val="22"/>
                <w:szCs w:val="22"/>
              </w:rPr>
            </w:pPr>
            <w:r w:rsidRPr="00116414">
              <w:rPr>
                <w:rFonts w:asciiTheme="minorHAnsi" w:hAnsiTheme="minorHAnsi" w:cstheme="minorHAnsi"/>
                <w:sz w:val="22"/>
                <w:szCs w:val="22"/>
              </w:rPr>
              <w:t>Good Citizenship</w:t>
            </w:r>
          </w:p>
        </w:tc>
        <w:tc>
          <w:tcPr>
            <w:tcW w:w="7092" w:type="dxa"/>
          </w:tcPr>
          <w:p w14:paraId="2EFC383D" w14:textId="77777777" w:rsidR="00982DA3" w:rsidRPr="00116414" w:rsidRDefault="00982DA3" w:rsidP="00172B97">
            <w:pPr>
              <w:numPr>
                <w:ilvl w:val="1"/>
                <w:numId w:val="6"/>
              </w:numPr>
              <w:tabs>
                <w:tab w:val="clear" w:pos="644"/>
                <w:tab w:val="left" w:pos="373"/>
              </w:tabs>
              <w:autoSpaceDE w:val="0"/>
              <w:autoSpaceDN w:val="0"/>
              <w:adjustRightInd w:val="0"/>
              <w:ind w:left="373" w:hanging="373"/>
              <w:rPr>
                <w:rFonts w:asciiTheme="minorHAnsi" w:hAnsiTheme="minorHAnsi" w:cstheme="minorHAnsi"/>
                <w:sz w:val="22"/>
                <w:szCs w:val="22"/>
              </w:rPr>
            </w:pPr>
            <w:r w:rsidRPr="00116414">
              <w:rPr>
                <w:rFonts w:asciiTheme="minorHAnsi" w:hAnsiTheme="minorHAnsi" w:cstheme="minorHAnsi"/>
                <w:sz w:val="22"/>
                <w:szCs w:val="22"/>
              </w:rPr>
              <w:t xml:space="preserve">Holds personal accountability in ensuring continual focus on enhancing the </w:t>
            </w:r>
            <w:r w:rsidR="00172B97" w:rsidRPr="00116414">
              <w:rPr>
                <w:rFonts w:asciiTheme="minorHAnsi" w:hAnsiTheme="minorHAnsi" w:cstheme="minorHAnsi"/>
                <w:sz w:val="22"/>
                <w:szCs w:val="22"/>
              </w:rPr>
              <w:t>staff and pupil</w:t>
            </w:r>
            <w:r w:rsidRPr="00116414">
              <w:rPr>
                <w:rFonts w:asciiTheme="minorHAnsi" w:hAnsiTheme="minorHAnsi" w:cstheme="minorHAnsi"/>
                <w:sz w:val="22"/>
                <w:szCs w:val="22"/>
              </w:rPr>
              <w:t xml:space="preserve"> experience through actions, words and behaviour. Our </w:t>
            </w:r>
            <w:r w:rsidR="00172B97" w:rsidRPr="00116414">
              <w:rPr>
                <w:rFonts w:asciiTheme="minorHAnsi" w:hAnsiTheme="minorHAnsi" w:cstheme="minorHAnsi"/>
                <w:sz w:val="22"/>
                <w:szCs w:val="22"/>
              </w:rPr>
              <w:t>pupils</w:t>
            </w:r>
            <w:r w:rsidRPr="00116414">
              <w:rPr>
                <w:rFonts w:asciiTheme="minorHAnsi" w:hAnsiTheme="minorHAnsi" w:cstheme="minorHAnsi"/>
                <w:sz w:val="22"/>
                <w:szCs w:val="22"/>
              </w:rPr>
              <w:t xml:space="preserve"> are the most important members of our institution and must be treated as such</w:t>
            </w:r>
          </w:p>
        </w:tc>
      </w:tr>
    </w:tbl>
    <w:p w14:paraId="2EFC383F" w14:textId="77777777" w:rsidR="008D12D3" w:rsidRPr="00116414" w:rsidRDefault="008D12D3" w:rsidP="00FD431A">
      <w:pPr>
        <w:tabs>
          <w:tab w:val="left" w:pos="352"/>
          <w:tab w:val="left" w:pos="703"/>
          <w:tab w:val="left" w:pos="1055"/>
          <w:tab w:val="left" w:pos="1406"/>
        </w:tabs>
        <w:spacing w:before="60" w:after="120"/>
        <w:rPr>
          <w:rFonts w:asciiTheme="minorHAnsi" w:hAnsiTheme="minorHAnsi" w:cstheme="minorHAnsi"/>
          <w:b/>
          <w:sz w:val="22"/>
          <w:szCs w:val="22"/>
        </w:rPr>
      </w:pPr>
    </w:p>
    <w:p w14:paraId="2EFC3840" w14:textId="77777777" w:rsidR="00FD431A" w:rsidRPr="00116414" w:rsidRDefault="00FD431A" w:rsidP="00FD431A">
      <w:pPr>
        <w:tabs>
          <w:tab w:val="left" w:pos="352"/>
          <w:tab w:val="left" w:pos="703"/>
          <w:tab w:val="left" w:pos="1055"/>
          <w:tab w:val="left" w:pos="1406"/>
        </w:tabs>
        <w:spacing w:before="60" w:after="120"/>
        <w:rPr>
          <w:rFonts w:asciiTheme="minorHAnsi" w:hAnsiTheme="minorHAnsi" w:cstheme="minorHAnsi"/>
          <w:b/>
          <w:sz w:val="22"/>
          <w:szCs w:val="22"/>
        </w:rPr>
      </w:pPr>
      <w:r w:rsidRPr="00116414">
        <w:rPr>
          <w:rFonts w:asciiTheme="minorHAnsi" w:hAnsiTheme="minorHAnsi" w:cstheme="minorHAnsi"/>
          <w:b/>
          <w:sz w:val="22"/>
          <w:szCs w:val="22"/>
        </w:rPr>
        <w:t>Key Stakeholders:</w:t>
      </w:r>
    </w:p>
    <w:p w14:paraId="2EFC3841" w14:textId="77777777" w:rsidR="00FD431A" w:rsidRPr="00116414" w:rsidRDefault="00FD431A" w:rsidP="00FD431A">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Internal:</w:t>
      </w:r>
      <w:r w:rsidR="0079533A">
        <w:rPr>
          <w:rFonts w:asciiTheme="minorHAnsi" w:hAnsiTheme="minorHAnsi" w:cstheme="minorHAnsi"/>
          <w:color w:val="000000"/>
          <w:sz w:val="22"/>
          <w:szCs w:val="22"/>
          <w:lang w:eastAsia="en-AU"/>
        </w:rPr>
        <w:t xml:space="preserve"> Pupils, Teachers, </w:t>
      </w:r>
      <w:r w:rsidR="00090C2E">
        <w:rPr>
          <w:rFonts w:asciiTheme="minorHAnsi" w:hAnsiTheme="minorHAnsi" w:cstheme="minorHAnsi"/>
          <w:color w:val="000000"/>
          <w:sz w:val="22"/>
          <w:szCs w:val="22"/>
          <w:lang w:eastAsia="en-AU"/>
        </w:rPr>
        <w:t>Support Team</w:t>
      </w:r>
    </w:p>
    <w:p w14:paraId="2EFC3842" w14:textId="77777777" w:rsidR="00570946" w:rsidRPr="00116414" w:rsidRDefault="008C3ADA" w:rsidP="009C14AA">
      <w:pPr>
        <w:autoSpaceDE w:val="0"/>
        <w:autoSpaceDN w:val="0"/>
        <w:adjustRightInd w:val="0"/>
        <w:spacing w:after="60" w:line="276" w:lineRule="auto"/>
        <w:rPr>
          <w:rFonts w:asciiTheme="minorHAnsi" w:hAnsiTheme="minorHAnsi" w:cstheme="minorHAnsi"/>
          <w:b/>
          <w:sz w:val="22"/>
          <w:szCs w:val="22"/>
        </w:rPr>
      </w:pPr>
      <w:r w:rsidRPr="00116414">
        <w:rPr>
          <w:rFonts w:asciiTheme="minorHAnsi" w:hAnsiTheme="minorHAnsi" w:cstheme="minorHAnsi"/>
          <w:sz w:val="22"/>
          <w:szCs w:val="22"/>
          <w:lang w:eastAsia="en-AU"/>
        </w:rPr>
        <w:t>External:</w:t>
      </w:r>
      <w:r w:rsidR="0079533A">
        <w:rPr>
          <w:rFonts w:asciiTheme="minorHAnsi" w:hAnsiTheme="minorHAnsi" w:cstheme="minorHAnsi"/>
          <w:sz w:val="22"/>
          <w:szCs w:val="22"/>
          <w:lang w:eastAsia="en-AU"/>
        </w:rPr>
        <w:t xml:space="preserve"> Parents and Carers</w:t>
      </w:r>
    </w:p>
    <w:p w14:paraId="2EFC3843" w14:textId="77777777" w:rsidR="00570946" w:rsidRPr="00116414" w:rsidRDefault="00570946"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p>
    <w:p w14:paraId="2EFC3844" w14:textId="77777777" w:rsidR="0040241A" w:rsidRPr="00116414" w:rsidRDefault="0040241A" w:rsidP="0040241A">
      <w:pPr>
        <w:tabs>
          <w:tab w:val="left" w:pos="352"/>
          <w:tab w:val="left" w:pos="703"/>
          <w:tab w:val="left" w:pos="1055"/>
          <w:tab w:val="left" w:pos="1406"/>
        </w:tabs>
        <w:spacing w:before="60" w:after="120" w:line="276" w:lineRule="auto"/>
        <w:rPr>
          <w:rFonts w:asciiTheme="minorHAnsi" w:hAnsiTheme="minorHAnsi" w:cstheme="minorHAnsi"/>
          <w:b/>
          <w:sz w:val="22"/>
          <w:szCs w:val="22"/>
        </w:rPr>
      </w:pPr>
      <w:r w:rsidRPr="00116414">
        <w:rPr>
          <w:rFonts w:asciiTheme="minorHAnsi" w:hAnsiTheme="minorHAnsi" w:cstheme="minorHAnsi"/>
          <w:b/>
          <w:sz w:val="22"/>
          <w:szCs w:val="22"/>
        </w:rPr>
        <w:lastRenderedPageBreak/>
        <w:t>Knowledge, skill and experience requirements</w:t>
      </w:r>
      <w:r w:rsidR="00746EEE" w:rsidRPr="00116414">
        <w:rPr>
          <w:rFonts w:asciiTheme="minorHAnsi" w:hAnsiTheme="minorHAnsi" w:cstheme="minorHAnsi"/>
          <w:b/>
          <w:color w:val="FF0000"/>
          <w:sz w:val="22"/>
          <w:szCs w:val="22"/>
        </w:rPr>
        <w:t xml:space="preserve"> </w:t>
      </w:r>
    </w:p>
    <w:p w14:paraId="2EFC3845" w14:textId="77777777" w:rsidR="00570946" w:rsidRPr="00116414" w:rsidRDefault="00B504E0">
      <w:pPr>
        <w:autoSpaceDE w:val="0"/>
        <w:autoSpaceDN w:val="0"/>
        <w:adjustRightInd w:val="0"/>
        <w:spacing w:after="60" w:line="276" w:lineRule="auto"/>
        <w:rPr>
          <w:rFonts w:asciiTheme="minorHAnsi" w:hAnsiTheme="minorHAnsi" w:cstheme="minorHAnsi"/>
          <w:color w:val="000000"/>
          <w:sz w:val="22"/>
          <w:szCs w:val="22"/>
          <w:lang w:eastAsia="en-AU"/>
        </w:rPr>
      </w:pPr>
      <w:r w:rsidRPr="00116414">
        <w:rPr>
          <w:rFonts w:asciiTheme="minorHAnsi" w:hAnsiTheme="minorHAnsi" w:cstheme="minorHAnsi"/>
          <w:color w:val="000000"/>
          <w:sz w:val="22"/>
          <w:szCs w:val="22"/>
          <w:lang w:eastAsia="en-AU"/>
        </w:rPr>
        <w:t>Essential:</w:t>
      </w:r>
    </w:p>
    <w:p w14:paraId="2EFC3846" w14:textId="77777777" w:rsidR="00570946"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Qualified teacher status in the subject area</w:t>
      </w:r>
    </w:p>
    <w:p w14:paraId="2EFC3847"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Experience of teaching across both Key S</w:t>
      </w:r>
      <w:r w:rsidR="00090C2E">
        <w:rPr>
          <w:rFonts w:asciiTheme="minorHAnsi" w:hAnsiTheme="minorHAnsi" w:cstheme="minorHAnsi"/>
          <w:color w:val="000000"/>
          <w:sz w:val="22"/>
          <w:szCs w:val="22"/>
        </w:rPr>
        <w:t>tages either on teaching practic</w:t>
      </w:r>
      <w:r>
        <w:rPr>
          <w:rFonts w:asciiTheme="minorHAnsi" w:hAnsiTheme="minorHAnsi" w:cstheme="minorHAnsi"/>
          <w:color w:val="000000"/>
          <w:sz w:val="22"/>
          <w:szCs w:val="22"/>
        </w:rPr>
        <w:t>e or your current post</w:t>
      </w:r>
    </w:p>
    <w:p w14:paraId="2EFC3848"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To demonstrate the skills of a good teacher</w:t>
      </w:r>
    </w:p>
    <w:p w14:paraId="2EFC3849"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The ability to interest, encourage and en</w:t>
      </w:r>
      <w:r w:rsidR="00090C2E">
        <w:rPr>
          <w:rFonts w:asciiTheme="minorHAnsi" w:hAnsiTheme="minorHAnsi" w:cstheme="minorHAnsi"/>
          <w:color w:val="000000"/>
          <w:sz w:val="22"/>
          <w:szCs w:val="22"/>
        </w:rPr>
        <w:t>g</w:t>
      </w:r>
      <w:r>
        <w:rPr>
          <w:rFonts w:asciiTheme="minorHAnsi" w:hAnsiTheme="minorHAnsi" w:cstheme="minorHAnsi"/>
          <w:color w:val="000000"/>
          <w:sz w:val="22"/>
          <w:szCs w:val="22"/>
        </w:rPr>
        <w:t>a</w:t>
      </w:r>
      <w:r w:rsidR="00090C2E">
        <w:rPr>
          <w:rFonts w:asciiTheme="minorHAnsi" w:hAnsiTheme="minorHAnsi" w:cstheme="minorHAnsi"/>
          <w:color w:val="000000"/>
          <w:sz w:val="22"/>
          <w:szCs w:val="22"/>
        </w:rPr>
        <w:t>g</w:t>
      </w:r>
      <w:r>
        <w:rPr>
          <w:rFonts w:asciiTheme="minorHAnsi" w:hAnsiTheme="minorHAnsi" w:cstheme="minorHAnsi"/>
          <w:color w:val="000000"/>
          <w:sz w:val="22"/>
          <w:szCs w:val="22"/>
        </w:rPr>
        <w:t>e students</w:t>
      </w:r>
    </w:p>
    <w:p w14:paraId="2EFC384A" w14:textId="77777777" w:rsid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Provide appropriate levels of challen</w:t>
      </w:r>
      <w:r w:rsidR="00090C2E">
        <w:rPr>
          <w:rFonts w:asciiTheme="minorHAnsi" w:hAnsiTheme="minorHAnsi" w:cstheme="minorHAnsi"/>
          <w:color w:val="000000"/>
          <w:sz w:val="22"/>
          <w:szCs w:val="22"/>
        </w:rPr>
        <w:t>ge</w:t>
      </w:r>
      <w:r>
        <w:rPr>
          <w:rFonts w:asciiTheme="minorHAnsi" w:hAnsiTheme="minorHAnsi" w:cstheme="minorHAnsi"/>
          <w:color w:val="000000"/>
          <w:sz w:val="22"/>
          <w:szCs w:val="22"/>
        </w:rPr>
        <w:t xml:space="preserve"> so that students to learn effectively and acquire new skills and knowledge</w:t>
      </w:r>
    </w:p>
    <w:p w14:paraId="2EFC384B" w14:textId="77777777" w:rsidR="004725CA" w:rsidRPr="004725CA" w:rsidRDefault="004725CA" w:rsidP="004725CA">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4725CA">
        <w:rPr>
          <w:rFonts w:asciiTheme="minorHAnsi" w:hAnsiTheme="minorHAnsi" w:cstheme="minorHAnsi"/>
          <w:sz w:val="22"/>
          <w:szCs w:val="22"/>
        </w:rPr>
        <w:t>Use methods and resources that enable all students to learn effectively and acquire new skills and knowledge</w:t>
      </w:r>
    </w:p>
    <w:p w14:paraId="2EFC384C"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Use assessment information effectively to plan next steps in students learning</w:t>
      </w:r>
    </w:p>
    <w:p w14:paraId="2EFC384D"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Secure high standards of behaviour</w:t>
      </w:r>
    </w:p>
    <w:p w14:paraId="2EFC384E"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Enable students to develop the skills to work independently and collaboratively</w:t>
      </w:r>
    </w:p>
    <w:p w14:paraId="2EFC384F"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Create a well organised, stimulating learning environment</w:t>
      </w:r>
    </w:p>
    <w:p w14:paraId="2EFC3850"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A commitment to raising achievement</w:t>
      </w:r>
    </w:p>
    <w:p w14:paraId="2EFC3851"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 xml:space="preserve">The ability to work as part of a team in planning and implementing the curriculum </w:t>
      </w:r>
    </w:p>
    <w:p w14:paraId="2EFC3852"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The ability to work within the framework of national and whole school policies to ensure consistency of practice</w:t>
      </w:r>
    </w:p>
    <w:p w14:paraId="2EFC3853"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The ability to relate to and communicate effectively with parents and carers and to encourage their active participation in the educational process</w:t>
      </w:r>
    </w:p>
    <w:p w14:paraId="2EFC3854" w14:textId="77777777" w:rsidR="004725CA" w:rsidRPr="004725CA" w:rsidRDefault="004725CA" w:rsidP="004725CA">
      <w:pPr>
        <w:numPr>
          <w:ilvl w:val="0"/>
          <w:numId w:val="33"/>
        </w:numPr>
        <w:tabs>
          <w:tab w:val="left" w:pos="717"/>
        </w:tabs>
        <w:rPr>
          <w:rFonts w:asciiTheme="minorHAnsi" w:hAnsiTheme="minorHAnsi" w:cstheme="minorHAnsi"/>
          <w:sz w:val="22"/>
          <w:szCs w:val="22"/>
        </w:rPr>
      </w:pPr>
      <w:r w:rsidRPr="004725CA">
        <w:rPr>
          <w:rFonts w:asciiTheme="minorHAnsi" w:hAnsiTheme="minorHAnsi" w:cstheme="minorHAnsi"/>
          <w:sz w:val="22"/>
          <w:szCs w:val="22"/>
        </w:rPr>
        <w:t>A commitment to further your own professional development and to the principle of continuous improvement</w:t>
      </w:r>
    </w:p>
    <w:p w14:paraId="2EFC3855" w14:textId="77777777" w:rsidR="004725CA" w:rsidRDefault="004725CA" w:rsidP="00A452F2">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A proven track record of recent and successful class teaching in an 11-16 school</w:t>
      </w:r>
    </w:p>
    <w:p w14:paraId="2EFC3856" w14:textId="77777777" w:rsidR="004725CA" w:rsidRDefault="004725CA" w:rsidP="0088057C">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Good understanding of current theory and practice of best practice in teaching and learning</w:t>
      </w:r>
    </w:p>
    <w:p w14:paraId="2EFC3857" w14:textId="77777777" w:rsidR="004725CA" w:rsidRPr="004725CA" w:rsidRDefault="004725CA" w:rsidP="0088057C">
      <w:pPr>
        <w:pStyle w:val="ListParagraph"/>
        <w:numPr>
          <w:ilvl w:val="0"/>
          <w:numId w:val="33"/>
        </w:numPr>
        <w:autoSpaceDE w:val="0"/>
        <w:autoSpaceDN w:val="0"/>
        <w:adjustRightInd w:val="0"/>
        <w:spacing w:after="60" w:line="276" w:lineRule="auto"/>
        <w:rPr>
          <w:rFonts w:asciiTheme="minorHAnsi" w:hAnsiTheme="minorHAnsi" w:cstheme="minorHAnsi"/>
          <w:sz w:val="22"/>
          <w:szCs w:val="22"/>
        </w:rPr>
      </w:pPr>
      <w:r w:rsidRPr="004725CA">
        <w:rPr>
          <w:rFonts w:asciiTheme="minorHAnsi" w:hAnsiTheme="minorHAnsi" w:cstheme="minorHAnsi"/>
          <w:sz w:val="22"/>
          <w:szCs w:val="22"/>
        </w:rPr>
        <w:t xml:space="preserve">Knowledge of the National Curriculum </w:t>
      </w:r>
    </w:p>
    <w:p w14:paraId="2EFC3858"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Good subject knowledge for identified preferred subject</w:t>
      </w:r>
    </w:p>
    <w:p w14:paraId="2EFC3859"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 xml:space="preserve">Understanding of effective strategies for maintaining high standards of discipline within the classroom </w:t>
      </w:r>
    </w:p>
    <w:p w14:paraId="2EFC385A" w14:textId="77777777" w:rsidR="004725CA" w:rsidRPr="004725CA" w:rsidRDefault="004725CA" w:rsidP="004725CA">
      <w:pPr>
        <w:numPr>
          <w:ilvl w:val="0"/>
          <w:numId w:val="33"/>
        </w:numPr>
        <w:rPr>
          <w:rFonts w:asciiTheme="minorHAnsi" w:hAnsiTheme="minorHAnsi" w:cstheme="minorHAnsi"/>
          <w:sz w:val="22"/>
          <w:szCs w:val="22"/>
        </w:rPr>
      </w:pPr>
      <w:r w:rsidRPr="004725CA">
        <w:rPr>
          <w:rFonts w:asciiTheme="minorHAnsi" w:hAnsiTheme="minorHAnsi" w:cstheme="minorHAnsi"/>
          <w:sz w:val="22"/>
          <w:szCs w:val="22"/>
        </w:rPr>
        <w:t>An understanding of equality of opportunity issues and how they can be addressed in schools</w:t>
      </w:r>
    </w:p>
    <w:p w14:paraId="2EFC385B" w14:textId="620B591A" w:rsidR="00090C2E" w:rsidRPr="00090C2E" w:rsidRDefault="004725CA" w:rsidP="00090C2E">
      <w:pPr>
        <w:pStyle w:val="ListParagraph"/>
        <w:numPr>
          <w:ilvl w:val="0"/>
          <w:numId w:val="33"/>
        </w:numPr>
        <w:autoSpaceDE w:val="0"/>
        <w:autoSpaceDN w:val="0"/>
        <w:adjustRightInd w:val="0"/>
        <w:spacing w:after="60" w:line="276" w:lineRule="auto"/>
        <w:rPr>
          <w:rFonts w:asciiTheme="minorHAnsi" w:hAnsiTheme="minorHAnsi" w:cstheme="minorHAnsi"/>
          <w:color w:val="000000"/>
          <w:sz w:val="22"/>
          <w:szCs w:val="22"/>
        </w:rPr>
      </w:pPr>
      <w:r w:rsidRPr="004725CA">
        <w:rPr>
          <w:rFonts w:asciiTheme="minorHAnsi" w:hAnsiTheme="minorHAnsi" w:cstheme="minorHAnsi"/>
          <w:sz w:val="22"/>
          <w:szCs w:val="22"/>
        </w:rPr>
        <w:t>An understanding of and a commitment to safeguarding students.</w:t>
      </w:r>
    </w:p>
    <w:p w14:paraId="2EFC385C" w14:textId="77777777" w:rsidR="00030165" w:rsidRPr="00116414" w:rsidRDefault="00030165" w:rsidP="00030165">
      <w:pPr>
        <w:spacing w:before="60" w:after="120"/>
        <w:rPr>
          <w:rFonts w:asciiTheme="minorHAnsi" w:hAnsiTheme="minorHAnsi" w:cstheme="minorHAnsi"/>
          <w:b/>
          <w:sz w:val="22"/>
          <w:szCs w:val="22"/>
        </w:rPr>
      </w:pPr>
    </w:p>
    <w:p w14:paraId="2EFC385D" w14:textId="77777777" w:rsidR="00BB62A1" w:rsidRPr="00116414" w:rsidRDefault="00D3669F" w:rsidP="00280C58">
      <w:pPr>
        <w:spacing w:before="60" w:after="120"/>
        <w:rPr>
          <w:rFonts w:asciiTheme="minorHAnsi" w:hAnsiTheme="minorHAnsi" w:cstheme="minorHAnsi"/>
          <w:b/>
          <w:sz w:val="22"/>
          <w:szCs w:val="22"/>
        </w:rPr>
      </w:pPr>
      <w:r w:rsidRPr="00116414">
        <w:rPr>
          <w:rFonts w:asciiTheme="minorHAnsi" w:hAnsiTheme="minorHAnsi" w:cstheme="minorHAnsi"/>
          <w:b/>
          <w:sz w:val="22"/>
          <w:szCs w:val="22"/>
        </w:rPr>
        <w:t>Key b</w:t>
      </w:r>
      <w:r w:rsidR="00BB62A1" w:rsidRPr="00116414">
        <w:rPr>
          <w:rFonts w:asciiTheme="minorHAnsi" w:hAnsiTheme="minorHAnsi" w:cstheme="minorHAnsi"/>
          <w:b/>
          <w:sz w:val="22"/>
          <w:szCs w:val="22"/>
        </w:rPr>
        <w:t>ehaviours:</w:t>
      </w:r>
    </w:p>
    <w:p w14:paraId="2EFC385E" w14:textId="77777777" w:rsidR="0049586B" w:rsidRPr="00116414" w:rsidRDefault="0049586B" w:rsidP="00BE2798">
      <w:pPr>
        <w:pStyle w:val="ListParagraph"/>
        <w:numPr>
          <w:ilvl w:val="0"/>
          <w:numId w:val="14"/>
        </w:numPr>
        <w:spacing w:line="276" w:lineRule="auto"/>
        <w:ind w:left="720" w:hanging="294"/>
        <w:rPr>
          <w:rFonts w:asciiTheme="minorHAnsi" w:hAnsiTheme="minorHAnsi" w:cstheme="minorHAnsi"/>
          <w:sz w:val="22"/>
          <w:szCs w:val="22"/>
        </w:rPr>
      </w:pPr>
      <w:r w:rsidRPr="00116414">
        <w:rPr>
          <w:rFonts w:asciiTheme="minorHAnsi" w:hAnsiTheme="minorHAnsi" w:cstheme="minorHAnsi"/>
          <w:sz w:val="22"/>
          <w:szCs w:val="22"/>
        </w:rPr>
        <w:t xml:space="preserve">Demonstrate </w:t>
      </w:r>
      <w:r w:rsidR="00A52812" w:rsidRPr="00116414">
        <w:rPr>
          <w:rFonts w:asciiTheme="minorHAnsi" w:hAnsiTheme="minorHAnsi" w:cstheme="minorHAnsi"/>
          <w:sz w:val="22"/>
          <w:szCs w:val="22"/>
        </w:rPr>
        <w:t xml:space="preserve">and role model </w:t>
      </w:r>
      <w:r w:rsidR="00BE2798" w:rsidRPr="00116414">
        <w:rPr>
          <w:rFonts w:asciiTheme="minorHAnsi" w:hAnsiTheme="minorHAnsi" w:cstheme="minorHAnsi"/>
          <w:sz w:val="22"/>
          <w:szCs w:val="22"/>
        </w:rPr>
        <w:t xml:space="preserve">Trust </w:t>
      </w:r>
      <w:r w:rsidR="00A52812" w:rsidRPr="00116414">
        <w:rPr>
          <w:rFonts w:asciiTheme="minorHAnsi" w:hAnsiTheme="minorHAnsi" w:cstheme="minorHAnsi"/>
          <w:sz w:val="22"/>
          <w:szCs w:val="22"/>
        </w:rPr>
        <w:t>values</w:t>
      </w:r>
      <w:r w:rsidR="00502CC2" w:rsidRPr="00116414">
        <w:rPr>
          <w:rFonts w:asciiTheme="minorHAnsi" w:hAnsiTheme="minorHAnsi" w:cstheme="minorHAnsi"/>
          <w:sz w:val="22"/>
          <w:szCs w:val="22"/>
        </w:rPr>
        <w:t xml:space="preserve"> which are:</w:t>
      </w:r>
    </w:p>
    <w:p w14:paraId="2EFC385F" w14:textId="77777777" w:rsidR="00502CC2" w:rsidRPr="00116414" w:rsidRDefault="00502CC2" w:rsidP="00502CC2">
      <w:pPr>
        <w:pStyle w:val="Default"/>
        <w:rPr>
          <w:rFonts w:asciiTheme="minorHAnsi" w:hAnsiTheme="minorHAnsi" w:cstheme="minorHAnsi"/>
          <w:sz w:val="22"/>
          <w:szCs w:val="22"/>
        </w:rPr>
      </w:pPr>
    </w:p>
    <w:p w14:paraId="2EFC3860"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Passion</w:t>
      </w:r>
    </w:p>
    <w:p w14:paraId="2EFC3861"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Respect</w:t>
      </w:r>
    </w:p>
    <w:p w14:paraId="2EFC3862"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Inclusion</w:t>
      </w:r>
    </w:p>
    <w:p w14:paraId="2EFC3863" w14:textId="77777777" w:rsidR="00BE2798" w:rsidRPr="00116414" w:rsidRDefault="00BE2798" w:rsidP="00BE2798">
      <w:pPr>
        <w:numPr>
          <w:ilvl w:val="0"/>
          <w:numId w:val="29"/>
        </w:numPr>
        <w:spacing w:after="225"/>
        <w:ind w:left="426" w:firstLine="0"/>
        <w:rPr>
          <w:rFonts w:asciiTheme="minorHAnsi" w:hAnsiTheme="minorHAnsi" w:cstheme="minorHAnsi"/>
          <w:b/>
          <w:i/>
          <w:color w:val="660066"/>
          <w:sz w:val="22"/>
          <w:szCs w:val="22"/>
          <w:lang w:val="en-GB" w:eastAsia="en-GB"/>
        </w:rPr>
      </w:pPr>
      <w:r w:rsidRPr="00116414">
        <w:rPr>
          <w:rFonts w:asciiTheme="minorHAnsi" w:hAnsiTheme="minorHAnsi" w:cstheme="minorHAnsi"/>
          <w:b/>
          <w:i/>
          <w:color w:val="660066"/>
          <w:sz w:val="22"/>
          <w:szCs w:val="22"/>
          <w:lang w:val="en-GB" w:eastAsia="en-GB"/>
        </w:rPr>
        <w:t>Challenge</w:t>
      </w:r>
    </w:p>
    <w:p w14:paraId="2EFC3864" w14:textId="77777777" w:rsidR="00A702B9" w:rsidRPr="00116414" w:rsidRDefault="00BE2798" w:rsidP="00A61B32">
      <w:pPr>
        <w:numPr>
          <w:ilvl w:val="0"/>
          <w:numId w:val="29"/>
        </w:numPr>
        <w:spacing w:before="60" w:after="120"/>
        <w:ind w:left="426" w:firstLine="0"/>
        <w:rPr>
          <w:rFonts w:asciiTheme="minorHAnsi" w:hAnsiTheme="minorHAnsi" w:cstheme="minorHAnsi"/>
          <w:i/>
          <w:sz w:val="22"/>
          <w:szCs w:val="22"/>
        </w:rPr>
      </w:pPr>
      <w:r w:rsidRPr="00116414">
        <w:rPr>
          <w:rFonts w:asciiTheme="minorHAnsi" w:hAnsiTheme="minorHAnsi" w:cstheme="minorHAnsi"/>
          <w:b/>
          <w:i/>
          <w:color w:val="660066"/>
          <w:sz w:val="22"/>
          <w:szCs w:val="22"/>
          <w:lang w:val="en-GB" w:eastAsia="en-GB"/>
        </w:rPr>
        <w:t>Openness</w:t>
      </w:r>
    </w:p>
    <w:sectPr w:rsidR="00A702B9" w:rsidRPr="00116414"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3867" w14:textId="77777777" w:rsidR="00AD666B" w:rsidRDefault="00AD666B">
      <w:r>
        <w:separator/>
      </w:r>
    </w:p>
  </w:endnote>
  <w:endnote w:type="continuationSeparator" w:id="0">
    <w:p w14:paraId="2EFC3868" w14:textId="77777777" w:rsidR="00AD666B" w:rsidRDefault="00AD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86A" w14:textId="77777777" w:rsidR="001F6718" w:rsidRPr="008678A7" w:rsidRDefault="001F6718" w:rsidP="00B84E29">
    <w:pPr>
      <w:pStyle w:val="Footer"/>
      <w:jc w:val="right"/>
      <w:rPr>
        <w:rFonts w:ascii="Trebuchet MS" w:hAnsi="Trebuchet MS"/>
      </w:rPr>
    </w:pPr>
    <w:r w:rsidRPr="009452CD">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3865" w14:textId="77777777" w:rsidR="00AD666B" w:rsidRDefault="00AD666B">
      <w:r>
        <w:separator/>
      </w:r>
    </w:p>
  </w:footnote>
  <w:footnote w:type="continuationSeparator" w:id="0">
    <w:p w14:paraId="2EFC3866" w14:textId="77777777" w:rsidR="00AD666B" w:rsidRDefault="00AD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869"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2EFC386B" wp14:editId="2EFC386C">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6666A"/>
    <w:multiLevelType w:val="hybridMultilevel"/>
    <w:tmpl w:val="5F385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7182D7E"/>
    <w:multiLevelType w:val="hybridMultilevel"/>
    <w:tmpl w:val="E376E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4C1A11"/>
    <w:multiLevelType w:val="hybridMultilevel"/>
    <w:tmpl w:val="869ED84C"/>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4"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6"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3063A71"/>
    <w:multiLevelType w:val="hybridMultilevel"/>
    <w:tmpl w:val="E4807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7"/>
  </w:num>
  <w:num w:numId="5">
    <w:abstractNumId w:val="32"/>
  </w:num>
  <w:num w:numId="6">
    <w:abstractNumId w:val="10"/>
  </w:num>
  <w:num w:numId="7">
    <w:abstractNumId w:val="6"/>
  </w:num>
  <w:num w:numId="8">
    <w:abstractNumId w:val="9"/>
  </w:num>
  <w:num w:numId="9">
    <w:abstractNumId w:val="18"/>
  </w:num>
  <w:num w:numId="10">
    <w:abstractNumId w:val="29"/>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7"/>
  </w:num>
  <w:num w:numId="14">
    <w:abstractNumId w:val="3"/>
  </w:num>
  <w:num w:numId="15">
    <w:abstractNumId w:val="16"/>
  </w:num>
  <w:num w:numId="16">
    <w:abstractNumId w:val="26"/>
  </w:num>
  <w:num w:numId="17">
    <w:abstractNumId w:val="20"/>
  </w:num>
  <w:num w:numId="18">
    <w:abstractNumId w:val="14"/>
  </w:num>
  <w:num w:numId="19">
    <w:abstractNumId w:val="33"/>
  </w:num>
  <w:num w:numId="20">
    <w:abstractNumId w:val="22"/>
  </w:num>
  <w:num w:numId="21">
    <w:abstractNumId w:val="24"/>
  </w:num>
  <w:num w:numId="22">
    <w:abstractNumId w:val="28"/>
  </w:num>
  <w:num w:numId="23">
    <w:abstractNumId w:val="11"/>
  </w:num>
  <w:num w:numId="24">
    <w:abstractNumId w:val="34"/>
  </w:num>
  <w:num w:numId="25">
    <w:abstractNumId w:val="5"/>
  </w:num>
  <w:num w:numId="26">
    <w:abstractNumId w:val="0"/>
  </w:num>
  <w:num w:numId="27">
    <w:abstractNumId w:val="15"/>
  </w:num>
  <w:num w:numId="28">
    <w:abstractNumId w:val="25"/>
  </w:num>
  <w:num w:numId="29">
    <w:abstractNumId w:val="30"/>
  </w:num>
  <w:num w:numId="30">
    <w:abstractNumId w:val="27"/>
  </w:num>
  <w:num w:numId="31">
    <w:abstractNumId w:val="12"/>
  </w:num>
  <w:num w:numId="32">
    <w:abstractNumId w:val="13"/>
  </w:num>
  <w:num w:numId="33">
    <w:abstractNumId w:val="31"/>
  </w:num>
  <w:num w:numId="34">
    <w:abstractNumId w:val="21"/>
  </w:num>
  <w:num w:numId="3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30F7"/>
    <w:rsid w:val="00086F58"/>
    <w:rsid w:val="00090C2E"/>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16414"/>
    <w:rsid w:val="0013357F"/>
    <w:rsid w:val="0013468F"/>
    <w:rsid w:val="00142DAC"/>
    <w:rsid w:val="001438E7"/>
    <w:rsid w:val="00144862"/>
    <w:rsid w:val="00147536"/>
    <w:rsid w:val="0016038A"/>
    <w:rsid w:val="00162521"/>
    <w:rsid w:val="00165260"/>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0EF0"/>
    <w:rsid w:val="002A7D92"/>
    <w:rsid w:val="002D56E5"/>
    <w:rsid w:val="002D603D"/>
    <w:rsid w:val="002E2BD6"/>
    <w:rsid w:val="002F747A"/>
    <w:rsid w:val="003049DD"/>
    <w:rsid w:val="00304A57"/>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725CA"/>
    <w:rsid w:val="00482E13"/>
    <w:rsid w:val="004873C4"/>
    <w:rsid w:val="00492248"/>
    <w:rsid w:val="0049586B"/>
    <w:rsid w:val="004A2B38"/>
    <w:rsid w:val="004A61AE"/>
    <w:rsid w:val="004B075B"/>
    <w:rsid w:val="004B1448"/>
    <w:rsid w:val="004B1E29"/>
    <w:rsid w:val="004B3F6C"/>
    <w:rsid w:val="004C4A4C"/>
    <w:rsid w:val="004D111B"/>
    <w:rsid w:val="004D177A"/>
    <w:rsid w:val="004D1E79"/>
    <w:rsid w:val="004D66E0"/>
    <w:rsid w:val="004E1071"/>
    <w:rsid w:val="004E3816"/>
    <w:rsid w:val="004F45EC"/>
    <w:rsid w:val="004F4AE9"/>
    <w:rsid w:val="004F6825"/>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5E27"/>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4AD"/>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33A"/>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37E6E"/>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E4AAD"/>
    <w:rsid w:val="009F0C0F"/>
    <w:rsid w:val="009F3DED"/>
    <w:rsid w:val="009F5CF3"/>
    <w:rsid w:val="009F7C4C"/>
    <w:rsid w:val="00A048D3"/>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666B"/>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377A"/>
    <w:rsid w:val="00B740F2"/>
    <w:rsid w:val="00B74AB7"/>
    <w:rsid w:val="00B82D79"/>
    <w:rsid w:val="00B84C6C"/>
    <w:rsid w:val="00B84E29"/>
    <w:rsid w:val="00B86B40"/>
    <w:rsid w:val="00BA0B66"/>
    <w:rsid w:val="00BA3BC4"/>
    <w:rsid w:val="00BA59D9"/>
    <w:rsid w:val="00BA7AB7"/>
    <w:rsid w:val="00BB5CAB"/>
    <w:rsid w:val="00BB62A1"/>
    <w:rsid w:val="00BB787F"/>
    <w:rsid w:val="00BC7B81"/>
    <w:rsid w:val="00BD3811"/>
    <w:rsid w:val="00BE1A73"/>
    <w:rsid w:val="00BE2798"/>
    <w:rsid w:val="00BF7680"/>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6474"/>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632D"/>
    <w:rsid w:val="00D175AB"/>
    <w:rsid w:val="00D23DE4"/>
    <w:rsid w:val="00D24A73"/>
    <w:rsid w:val="00D2684E"/>
    <w:rsid w:val="00D27DB6"/>
    <w:rsid w:val="00D315C6"/>
    <w:rsid w:val="00D3669F"/>
    <w:rsid w:val="00D40F25"/>
    <w:rsid w:val="00D4568C"/>
    <w:rsid w:val="00D45BDE"/>
    <w:rsid w:val="00D542CB"/>
    <w:rsid w:val="00D622EE"/>
    <w:rsid w:val="00D66267"/>
    <w:rsid w:val="00D751BD"/>
    <w:rsid w:val="00D7692D"/>
    <w:rsid w:val="00D775E4"/>
    <w:rsid w:val="00D8340D"/>
    <w:rsid w:val="00D8596D"/>
    <w:rsid w:val="00D90279"/>
    <w:rsid w:val="00DB18FB"/>
    <w:rsid w:val="00DB2972"/>
    <w:rsid w:val="00DB5934"/>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0EC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7883"/>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1D99"/>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FC3801"/>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link w:val="Heading2Cha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character" w:customStyle="1" w:styleId="Heading2Char">
    <w:name w:val="Heading 2 Char"/>
    <w:basedOn w:val="DefaultParagraphFont"/>
    <w:link w:val="Heading2"/>
    <w:rsid w:val="004725CA"/>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ce7c7dc280a9d474144a0ab2123cab98">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a93f8691a796d014aed08c65168630e0"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F5826-837C-4920-A4BD-6AD8AB44D756}">
  <ds:schemaRefs>
    <ds:schemaRef ds:uri="http://schemas.microsoft.com/sharepoint/v3/contenttype/forms"/>
  </ds:schemaRefs>
</ds:datastoreItem>
</file>

<file path=customXml/itemProps2.xml><?xml version="1.0" encoding="utf-8"?>
<ds:datastoreItem xmlns:ds="http://schemas.openxmlformats.org/officeDocument/2006/customXml" ds:itemID="{3B8D8C83-6500-4640-96A0-0D599625BBA5}">
  <ds:schemaRefs>
    <ds:schemaRef ds:uri="9f91ad1f-ae1c-45d7-9f5f-8fc807a6dfa8"/>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df7a2397-886e-4b60-b6a3-967982c29bc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CE7012F-5237-4E68-84A6-118F836A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501F2-0C24-4FA6-8BED-9F0A8B6C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3</cp:revision>
  <cp:lastPrinted>2018-03-16T12:52:00Z</cp:lastPrinted>
  <dcterms:created xsi:type="dcterms:W3CDTF">2022-05-18T12:27:00Z</dcterms:created>
  <dcterms:modified xsi:type="dcterms:W3CDTF">2022-05-18T12:28:00Z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