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ook w:val="0000" w:firstRow="0" w:lastRow="0" w:firstColumn="0" w:lastColumn="0" w:noHBand="0" w:noVBand="0"/>
      </w:tblPr>
      <w:tblGrid>
        <w:gridCol w:w="6062"/>
        <w:gridCol w:w="4111"/>
      </w:tblGrid>
      <w:tr w:rsidR="001832CF" w:rsidRPr="0093442A" w14:paraId="7A3FC8F1" w14:textId="77777777" w:rsidTr="001832CF">
        <w:tc>
          <w:tcPr>
            <w:tcW w:w="6062" w:type="dxa"/>
            <w:vAlign w:val="center"/>
          </w:tcPr>
          <w:p w14:paraId="36D57B62" w14:textId="3D472BD0" w:rsidR="001832CF" w:rsidRPr="00714765" w:rsidRDefault="001832CF" w:rsidP="006A14AA">
            <w:pPr>
              <w:rPr>
                <w:rFonts w:ascii="Arial" w:hAnsi="Arial" w:cs="Arial"/>
                <w:b/>
                <w:sz w:val="22"/>
                <w:szCs w:val="22"/>
              </w:rPr>
            </w:pPr>
            <w:r w:rsidRPr="00714765">
              <w:rPr>
                <w:rFonts w:ascii="Arial" w:hAnsi="Arial" w:cs="Arial"/>
                <w:b/>
                <w:sz w:val="22"/>
                <w:szCs w:val="22"/>
              </w:rPr>
              <w:t xml:space="preserve">Job Description – </w:t>
            </w:r>
            <w:r w:rsidR="0031613C">
              <w:rPr>
                <w:rFonts w:ascii="Arial" w:hAnsi="Arial" w:cs="Arial"/>
                <w:b/>
                <w:sz w:val="22"/>
                <w:szCs w:val="22"/>
              </w:rPr>
              <w:t>Governance Lead</w:t>
            </w:r>
            <w:r w:rsidR="007C7C4C">
              <w:rPr>
                <w:rFonts w:ascii="Arial" w:hAnsi="Arial" w:cs="Arial"/>
                <w:b/>
                <w:sz w:val="22"/>
                <w:szCs w:val="22"/>
              </w:rPr>
              <w:t xml:space="preserve"> </w:t>
            </w:r>
          </w:p>
        </w:tc>
        <w:tc>
          <w:tcPr>
            <w:tcW w:w="4111" w:type="dxa"/>
          </w:tcPr>
          <w:p w14:paraId="36EB4195" w14:textId="5977DC17" w:rsidR="001832CF" w:rsidRPr="00714765" w:rsidRDefault="0031613C" w:rsidP="0031613C">
            <w:pPr>
              <w:jc w:val="right"/>
              <w:rPr>
                <w:rFonts w:ascii="Arial" w:hAnsi="Arial" w:cs="Arial"/>
                <w:b/>
                <w:sz w:val="22"/>
                <w:szCs w:val="22"/>
              </w:rPr>
            </w:pPr>
            <w:r>
              <w:rPr>
                <w:noProof/>
              </w:rPr>
              <w:drawing>
                <wp:inline distT="0" distB="0" distL="0" distR="0" wp14:anchorId="66434FF2" wp14:editId="3F5EDED7">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61799"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7C0CC141" w14:textId="77777777" w:rsidR="00DE7978" w:rsidRDefault="00DE7978" w:rsidP="006A14AA">
      <w:pPr>
        <w:jc w:val="both"/>
        <w:rPr>
          <w:rFonts w:ascii="Arial" w:hAnsi="Arial" w:cs="Arial"/>
          <w:sz w:val="20"/>
        </w:rPr>
      </w:pPr>
    </w:p>
    <w:p w14:paraId="215C5CEB" w14:textId="77777777" w:rsidR="00547D1E" w:rsidRPr="00547D1E" w:rsidRDefault="00547D1E" w:rsidP="006A14AA">
      <w:pPr>
        <w:jc w:val="both"/>
        <w:rPr>
          <w:rFonts w:ascii="Arial" w:hAnsi="Arial" w:cs="Arial"/>
          <w:sz w:val="22"/>
          <w:szCs w:val="22"/>
        </w:rPr>
      </w:pPr>
    </w:p>
    <w:p w14:paraId="3D98056D" w14:textId="0C4BFC0E" w:rsidR="00FD7039" w:rsidRPr="00FD7039" w:rsidRDefault="00FD7039" w:rsidP="006A14AA">
      <w:pPr>
        <w:rPr>
          <w:rFonts w:ascii="Arial" w:hAnsi="Arial" w:cs="Arial"/>
          <w:sz w:val="22"/>
          <w:szCs w:val="22"/>
          <w:lang w:eastAsia="en-GB"/>
        </w:rPr>
      </w:pPr>
      <w:r w:rsidRPr="00FD7039">
        <w:rPr>
          <w:rFonts w:ascii="Arial" w:hAnsi="Arial" w:cs="Arial"/>
          <w:color w:val="000000"/>
          <w:sz w:val="22"/>
          <w:szCs w:val="22"/>
          <w:lang w:eastAsia="en-GB"/>
        </w:rPr>
        <w:t xml:space="preserve">Salary: </w:t>
      </w:r>
      <w:r w:rsidR="0010153A">
        <w:rPr>
          <w:rFonts w:ascii="Arial" w:hAnsi="Arial" w:cs="Arial"/>
          <w:color w:val="000000"/>
          <w:sz w:val="22"/>
          <w:szCs w:val="22"/>
          <w:lang w:eastAsia="en-GB"/>
        </w:rPr>
        <w:tab/>
      </w:r>
      <w:r w:rsidR="0010153A">
        <w:rPr>
          <w:rFonts w:ascii="Arial" w:hAnsi="Arial" w:cs="Arial"/>
          <w:color w:val="000000"/>
          <w:sz w:val="22"/>
          <w:szCs w:val="22"/>
          <w:lang w:eastAsia="en-GB"/>
        </w:rPr>
        <w:tab/>
        <w:t xml:space="preserve">SFCA Support Staff Pay </w:t>
      </w:r>
      <w:r w:rsidR="0031613C">
        <w:rPr>
          <w:rFonts w:ascii="Arial" w:hAnsi="Arial" w:cs="Arial"/>
          <w:color w:val="000000"/>
          <w:sz w:val="22"/>
          <w:szCs w:val="22"/>
          <w:lang w:eastAsia="en-GB"/>
        </w:rPr>
        <w:t xml:space="preserve">Spine Starting Point </w:t>
      </w:r>
      <w:r w:rsidR="00324B8F">
        <w:rPr>
          <w:rFonts w:ascii="Arial" w:hAnsi="Arial" w:cs="Arial"/>
          <w:color w:val="000000"/>
          <w:sz w:val="22"/>
          <w:szCs w:val="22"/>
          <w:lang w:eastAsia="en-GB"/>
        </w:rPr>
        <w:t>38</w:t>
      </w:r>
      <w:r w:rsidR="00A71F1A">
        <w:rPr>
          <w:rFonts w:ascii="Arial" w:hAnsi="Arial" w:cs="Arial"/>
          <w:color w:val="000000"/>
          <w:sz w:val="22"/>
          <w:szCs w:val="22"/>
          <w:lang w:eastAsia="en-GB"/>
        </w:rPr>
        <w:t xml:space="preserve"> (pro rata)</w:t>
      </w:r>
    </w:p>
    <w:p w14:paraId="1ED6B234" w14:textId="5713E2F0" w:rsidR="00FD7039" w:rsidRPr="00FD7039" w:rsidRDefault="00FD7039" w:rsidP="006A14AA">
      <w:pPr>
        <w:rPr>
          <w:rFonts w:ascii="Arial" w:hAnsi="Arial" w:cs="Arial"/>
          <w:sz w:val="22"/>
          <w:szCs w:val="22"/>
          <w:lang w:eastAsia="en-GB"/>
        </w:rPr>
      </w:pPr>
    </w:p>
    <w:p w14:paraId="2569B358" w14:textId="6311FC33" w:rsidR="00FD7039" w:rsidRDefault="00FD7039" w:rsidP="006A14AA">
      <w:pPr>
        <w:rPr>
          <w:rFonts w:ascii="Arial" w:hAnsi="Arial" w:cs="Arial"/>
          <w:color w:val="F15F22"/>
          <w:sz w:val="22"/>
          <w:szCs w:val="22"/>
          <w:lang w:eastAsia="en-GB"/>
        </w:rPr>
      </w:pPr>
    </w:p>
    <w:p w14:paraId="3661DD53" w14:textId="5C0B8CEC" w:rsidR="007C7C4C" w:rsidRDefault="006A14AA" w:rsidP="006A14AA">
      <w:pPr>
        <w:jc w:val="both"/>
        <w:rPr>
          <w:rFonts w:ascii="Arial" w:hAnsi="Arial" w:cs="Arial"/>
          <w:sz w:val="22"/>
          <w:szCs w:val="22"/>
        </w:rPr>
      </w:pPr>
      <w:r>
        <w:rPr>
          <w:rFonts w:ascii="Arial" w:hAnsi="Arial" w:cs="Arial"/>
          <w:sz w:val="22"/>
          <w:szCs w:val="22"/>
        </w:rPr>
        <w:t xml:space="preserve">The </w:t>
      </w:r>
      <w:r w:rsidR="001A7996">
        <w:rPr>
          <w:rFonts w:ascii="Arial" w:hAnsi="Arial" w:cs="Arial"/>
          <w:sz w:val="22"/>
          <w:szCs w:val="22"/>
        </w:rPr>
        <w:t>Clerk to the Governing Boards</w:t>
      </w:r>
      <w:r>
        <w:rPr>
          <w:rFonts w:ascii="Arial" w:hAnsi="Arial" w:cs="Arial"/>
          <w:sz w:val="22"/>
          <w:szCs w:val="22"/>
        </w:rPr>
        <w:t xml:space="preserve"> will be accountable to the Board of Trustees, working effectively with the Chair of Trustees, the Chief Executive Officer (CEO) of the MAT, the Chief Financial Officer (CFO) and other governors.</w:t>
      </w:r>
    </w:p>
    <w:p w14:paraId="0732F6A9" w14:textId="77777777" w:rsidR="00FD7039" w:rsidRPr="00FD7039" w:rsidRDefault="00FD7039" w:rsidP="006A14AA">
      <w:pPr>
        <w:rPr>
          <w:rFonts w:ascii="Arial" w:hAnsi="Arial" w:cs="Arial"/>
          <w:color w:val="F15F22"/>
          <w:sz w:val="22"/>
          <w:szCs w:val="22"/>
          <w:lang w:eastAsia="en-GB"/>
        </w:rPr>
      </w:pPr>
    </w:p>
    <w:p w14:paraId="492D785A" w14:textId="5C3CBA60" w:rsidR="00FD7039" w:rsidRDefault="001A5A26" w:rsidP="001A5A26">
      <w:pPr>
        <w:rPr>
          <w:rFonts w:ascii="Arial" w:hAnsi="Arial" w:cs="Arial"/>
          <w:b/>
          <w:sz w:val="22"/>
          <w:szCs w:val="22"/>
          <w:lang w:eastAsia="en-GB"/>
        </w:rPr>
      </w:pPr>
      <w:r w:rsidRPr="001A5A26">
        <w:rPr>
          <w:rFonts w:ascii="Arial" w:hAnsi="Arial" w:cs="Arial"/>
          <w:b/>
          <w:sz w:val="22"/>
          <w:szCs w:val="22"/>
          <w:lang w:eastAsia="en-GB"/>
        </w:rPr>
        <w:t>Role Purpose</w:t>
      </w:r>
    </w:p>
    <w:p w14:paraId="6C3DCA3E" w14:textId="77777777" w:rsidR="001A5A26" w:rsidRPr="001A5A26" w:rsidRDefault="001A5A26" w:rsidP="001A5A26">
      <w:pPr>
        <w:rPr>
          <w:rFonts w:ascii="Arial" w:hAnsi="Arial" w:cs="Arial"/>
          <w:b/>
          <w:sz w:val="22"/>
          <w:szCs w:val="22"/>
          <w:lang w:eastAsia="en-GB"/>
        </w:rPr>
      </w:pPr>
    </w:p>
    <w:p w14:paraId="0DDBE2A8" w14:textId="77777777" w:rsidR="001A5A26" w:rsidRPr="001A5A26" w:rsidRDefault="001A5A26" w:rsidP="001A5A26">
      <w:pPr>
        <w:pStyle w:val="Bodytext1"/>
        <w:spacing w:before="0" w:after="0" w:line="240" w:lineRule="auto"/>
        <w:rPr>
          <w:rFonts w:ascii="Arial" w:hAnsi="Arial" w:cs="Arial"/>
        </w:rPr>
      </w:pPr>
      <w:r w:rsidRPr="001A5A26">
        <w:rPr>
          <w:rFonts w:ascii="Arial" w:hAnsi="Arial" w:cs="Arial"/>
        </w:rPr>
        <w:t xml:space="preserve">To oversee all aspects of governance effectiveness and compliance within the trust, ensure governance adheres to good practice and meets all statutory and regulatory requirements, and </w:t>
      </w:r>
      <w:proofErr w:type="gramStart"/>
      <w:r w:rsidRPr="001A5A26">
        <w:rPr>
          <w:rFonts w:ascii="Arial" w:hAnsi="Arial" w:cs="Arial"/>
        </w:rPr>
        <w:t>provide</w:t>
      </w:r>
      <w:proofErr w:type="gramEnd"/>
      <w:r w:rsidRPr="001A5A26">
        <w:rPr>
          <w:rFonts w:ascii="Arial" w:hAnsi="Arial" w:cs="Arial"/>
        </w:rPr>
        <w:t xml:space="preserve"> </w:t>
      </w:r>
      <w:r w:rsidRPr="001A5A26">
        <w:rPr>
          <w:rFonts w:ascii="Arial" w:hAnsi="Arial" w:cs="Arial"/>
          <w:shd w:val="clear" w:color="auto" w:fill="FFFFFF"/>
        </w:rPr>
        <w:t>strategic leadership of services that support governance across the trust.</w:t>
      </w:r>
    </w:p>
    <w:p w14:paraId="142C541F" w14:textId="77777777" w:rsidR="00FD7039" w:rsidRPr="00FD7039" w:rsidRDefault="00FD7039" w:rsidP="006A14AA">
      <w:pPr>
        <w:jc w:val="both"/>
        <w:rPr>
          <w:rFonts w:ascii="Arial" w:hAnsi="Arial" w:cs="Arial"/>
          <w:sz w:val="22"/>
          <w:szCs w:val="22"/>
          <w:lang w:eastAsia="en-GB"/>
        </w:rPr>
      </w:pPr>
    </w:p>
    <w:p w14:paraId="4A1B94D4" w14:textId="77777777" w:rsidR="001A5A26" w:rsidRPr="001A5A26" w:rsidRDefault="001A5A26" w:rsidP="001A5A26">
      <w:pPr>
        <w:pStyle w:val="Heading3"/>
        <w:spacing w:before="0" w:after="0" w:line="240" w:lineRule="auto"/>
        <w:rPr>
          <w:rFonts w:ascii="Arial" w:hAnsi="Arial" w:cs="Arial"/>
          <w:b/>
          <w:bCs/>
          <w:color w:val="auto"/>
          <w:sz w:val="22"/>
        </w:rPr>
      </w:pPr>
      <w:r w:rsidRPr="001A5A26">
        <w:rPr>
          <w:rFonts w:ascii="Arial" w:hAnsi="Arial" w:cs="Arial"/>
          <w:b/>
          <w:bCs/>
          <w:color w:val="auto"/>
          <w:sz w:val="22"/>
        </w:rPr>
        <w:t>Leading governance services</w:t>
      </w:r>
    </w:p>
    <w:p w14:paraId="6A2680B1" w14:textId="77777777" w:rsidR="001A5A26" w:rsidRPr="001A5A26" w:rsidRDefault="001A5A26" w:rsidP="001A5A26"/>
    <w:p w14:paraId="1F295BAA" w14:textId="77777777" w:rsidR="001A5A26" w:rsidRPr="00693F56" w:rsidRDefault="001A5A26" w:rsidP="001A5A26">
      <w:pPr>
        <w:pStyle w:val="Bodytextbullets"/>
        <w:spacing w:before="0" w:after="0" w:line="240" w:lineRule="auto"/>
        <w:rPr>
          <w:rFonts w:ascii="Arial" w:hAnsi="Arial" w:cs="Arial"/>
        </w:rPr>
      </w:pPr>
      <w:proofErr w:type="gramStart"/>
      <w:r w:rsidRPr="00693F56">
        <w:rPr>
          <w:rFonts w:ascii="Arial" w:hAnsi="Arial" w:cs="Arial"/>
        </w:rPr>
        <w:t>work</w:t>
      </w:r>
      <w:proofErr w:type="gramEnd"/>
      <w:r w:rsidRPr="00693F56">
        <w:rPr>
          <w:rFonts w:ascii="Arial" w:hAnsi="Arial" w:cs="Arial"/>
        </w:rPr>
        <w:t xml:space="preserve"> with executives, strategic and operational leads to </w:t>
      </w:r>
      <w:proofErr w:type="gramStart"/>
      <w:r w:rsidRPr="00693F56">
        <w:rPr>
          <w:rFonts w:ascii="Arial" w:hAnsi="Arial" w:cs="Arial"/>
        </w:rPr>
        <w:t>ensure</w:t>
      </w:r>
      <w:proofErr w:type="gramEnd"/>
      <w:r w:rsidRPr="00693F56">
        <w:rPr>
          <w:rFonts w:ascii="Arial" w:hAnsi="Arial" w:cs="Arial"/>
        </w:rPr>
        <w:t xml:space="preserve"> support for governance is compliant, effective and contributes towards strategic priorities being met</w:t>
      </w:r>
    </w:p>
    <w:p w14:paraId="10AE49A6" w14:textId="77777777" w:rsidR="001A5A26" w:rsidRPr="00693F56" w:rsidRDefault="001A5A26" w:rsidP="001A5A26">
      <w:pPr>
        <w:pStyle w:val="Bodytextbullets"/>
        <w:spacing w:before="0" w:after="0" w:line="240" w:lineRule="auto"/>
        <w:rPr>
          <w:rFonts w:ascii="Arial" w:hAnsi="Arial" w:cs="Arial"/>
        </w:rPr>
      </w:pPr>
      <w:r w:rsidRPr="00693F56">
        <w:rPr>
          <w:rFonts w:ascii="Arial" w:hAnsi="Arial" w:cs="Arial"/>
        </w:rPr>
        <w:t>act as the lead adviser on issues relating to the governance of schools and or the trust</w:t>
      </w:r>
    </w:p>
    <w:p w14:paraId="094C2453" w14:textId="77777777" w:rsidR="001A5A26" w:rsidRPr="00693F56" w:rsidRDefault="001A5A26" w:rsidP="001A5A26">
      <w:pPr>
        <w:pStyle w:val="Bodytextbullets"/>
        <w:spacing w:before="0" w:after="0" w:line="240" w:lineRule="auto"/>
        <w:rPr>
          <w:rFonts w:ascii="Arial" w:hAnsi="Arial" w:cs="Arial"/>
        </w:rPr>
      </w:pPr>
      <w:r w:rsidRPr="00693F56">
        <w:rPr>
          <w:rFonts w:ascii="Arial" w:hAnsi="Arial" w:cs="Arial"/>
        </w:rPr>
        <w:t xml:space="preserve">developing and implementing </w:t>
      </w:r>
      <w:proofErr w:type="gramStart"/>
      <w:r w:rsidRPr="00693F56">
        <w:rPr>
          <w:rFonts w:ascii="Arial" w:hAnsi="Arial" w:cs="Arial"/>
        </w:rPr>
        <w:t>the MAT’s</w:t>
      </w:r>
      <w:proofErr w:type="gramEnd"/>
      <w:r w:rsidRPr="00693F56">
        <w:rPr>
          <w:rFonts w:ascii="Arial" w:hAnsi="Arial" w:cs="Arial"/>
        </w:rPr>
        <w:t xml:space="preserve"> strategy for effective governance support services</w:t>
      </w:r>
    </w:p>
    <w:p w14:paraId="491A2E69" w14:textId="77777777" w:rsidR="001A5A26" w:rsidRPr="00693F56" w:rsidRDefault="001A5A26" w:rsidP="001A5A26">
      <w:pPr>
        <w:pStyle w:val="Bodytextbullets"/>
        <w:spacing w:before="0" w:after="0" w:line="240" w:lineRule="auto"/>
        <w:rPr>
          <w:rFonts w:ascii="Arial" w:hAnsi="Arial" w:cs="Arial"/>
        </w:rPr>
      </w:pPr>
      <w:r w:rsidRPr="00693F56">
        <w:rPr>
          <w:rFonts w:ascii="Arial" w:hAnsi="Arial" w:cs="Arial"/>
        </w:rPr>
        <w:t>managing a budget</w:t>
      </w:r>
    </w:p>
    <w:p w14:paraId="0C735D12" w14:textId="77777777" w:rsidR="001A5A26" w:rsidRPr="00693F56" w:rsidRDefault="001A5A26" w:rsidP="001A5A26">
      <w:pPr>
        <w:pStyle w:val="Bodytextbullets"/>
        <w:spacing w:before="0" w:after="0" w:line="240" w:lineRule="auto"/>
        <w:rPr>
          <w:rFonts w:ascii="Arial" w:hAnsi="Arial" w:cs="Arial"/>
        </w:rPr>
      </w:pPr>
      <w:r w:rsidRPr="00693F56">
        <w:rPr>
          <w:rFonts w:ascii="Arial" w:hAnsi="Arial" w:cs="Arial"/>
        </w:rPr>
        <w:t>designing and monitoring the governance support structure</w:t>
      </w:r>
    </w:p>
    <w:p w14:paraId="40C636BC" w14:textId="77777777" w:rsidR="001A5A26" w:rsidRPr="00693F56" w:rsidRDefault="001A5A26" w:rsidP="001A5A26">
      <w:pPr>
        <w:pStyle w:val="Bodytextbullets"/>
        <w:spacing w:before="0" w:after="0" w:line="240" w:lineRule="auto"/>
        <w:rPr>
          <w:rFonts w:ascii="Arial" w:hAnsi="Arial" w:cs="Arial"/>
        </w:rPr>
      </w:pPr>
      <w:r w:rsidRPr="00693F56">
        <w:rPr>
          <w:rFonts w:ascii="Arial" w:hAnsi="Arial" w:cs="Arial"/>
        </w:rPr>
        <w:t xml:space="preserve">assessing capacity and developing the structure in line with </w:t>
      </w:r>
      <w:proofErr w:type="spellStart"/>
      <w:r w:rsidRPr="00693F56">
        <w:rPr>
          <w:rFonts w:ascii="Arial" w:hAnsi="Arial" w:cs="Arial"/>
        </w:rPr>
        <w:t>organisational</w:t>
      </w:r>
      <w:proofErr w:type="spellEnd"/>
      <w:r w:rsidRPr="00693F56">
        <w:rPr>
          <w:rFonts w:ascii="Arial" w:hAnsi="Arial" w:cs="Arial"/>
        </w:rPr>
        <w:t xml:space="preserve"> growth </w:t>
      </w:r>
    </w:p>
    <w:p w14:paraId="0F2E90CF" w14:textId="77777777" w:rsidR="001A5A26" w:rsidRPr="00693F56" w:rsidRDefault="001A5A26" w:rsidP="001A5A26">
      <w:pPr>
        <w:pStyle w:val="Bodytextbullets"/>
        <w:spacing w:before="0" w:after="0" w:line="240" w:lineRule="auto"/>
        <w:rPr>
          <w:rFonts w:ascii="Arial" w:hAnsi="Arial" w:cs="Arial"/>
        </w:rPr>
      </w:pPr>
      <w:r w:rsidRPr="00693F56">
        <w:rPr>
          <w:rFonts w:ascii="Arial" w:hAnsi="Arial" w:cs="Arial"/>
        </w:rPr>
        <w:t xml:space="preserve">ensuring effective communications are maintained with governing boards, governance professionals and stakeholders such as the DfE </w:t>
      </w:r>
    </w:p>
    <w:p w14:paraId="087605C2" w14:textId="77777777" w:rsidR="001A5A26" w:rsidRPr="00693F56" w:rsidRDefault="001A5A26" w:rsidP="001A5A26">
      <w:pPr>
        <w:pStyle w:val="Bodytextbullets"/>
        <w:spacing w:before="0" w:after="0" w:line="240" w:lineRule="auto"/>
        <w:rPr>
          <w:rFonts w:ascii="Arial" w:hAnsi="Arial" w:cs="Arial"/>
        </w:rPr>
      </w:pPr>
      <w:r w:rsidRPr="00693F56">
        <w:rPr>
          <w:rFonts w:ascii="Arial" w:hAnsi="Arial" w:cs="Arial"/>
        </w:rPr>
        <w:t>writing and presenting training and briefings</w:t>
      </w:r>
    </w:p>
    <w:p w14:paraId="1AEC569B" w14:textId="77777777" w:rsidR="001A5A26" w:rsidRPr="001A5A26" w:rsidRDefault="001A5A26" w:rsidP="001A5A26">
      <w:pPr>
        <w:pStyle w:val="Bodytextbullets"/>
        <w:numPr>
          <w:ilvl w:val="0"/>
          <w:numId w:val="0"/>
        </w:numPr>
        <w:spacing w:before="0" w:after="0" w:line="240" w:lineRule="auto"/>
        <w:ind w:left="360"/>
        <w:rPr>
          <w:rFonts w:ascii="Arial" w:hAnsi="Arial" w:cs="Arial"/>
        </w:rPr>
      </w:pPr>
    </w:p>
    <w:p w14:paraId="32C78B90" w14:textId="77777777" w:rsidR="001A5A26" w:rsidRPr="001A5A26" w:rsidRDefault="001A5A26" w:rsidP="001A5A26">
      <w:pPr>
        <w:pStyle w:val="Heading3"/>
        <w:spacing w:before="0" w:after="0" w:line="240" w:lineRule="auto"/>
        <w:rPr>
          <w:rFonts w:ascii="Arial" w:hAnsi="Arial" w:cs="Arial"/>
          <w:b/>
          <w:bCs/>
          <w:color w:val="auto"/>
          <w:sz w:val="22"/>
        </w:rPr>
      </w:pPr>
      <w:r w:rsidRPr="001A5A26">
        <w:rPr>
          <w:rFonts w:ascii="Arial" w:hAnsi="Arial" w:cs="Arial"/>
          <w:b/>
          <w:bCs/>
          <w:color w:val="auto"/>
          <w:sz w:val="22"/>
        </w:rPr>
        <w:t>Lead adviser for issues relating to governance of MATs</w:t>
      </w:r>
    </w:p>
    <w:p w14:paraId="198420E1" w14:textId="77777777" w:rsidR="001A5A26" w:rsidRPr="001A5A26" w:rsidRDefault="001A5A26" w:rsidP="001A5A26"/>
    <w:p w14:paraId="2C41F3F9" w14:textId="77777777" w:rsidR="001A5A26" w:rsidRPr="001A5A26" w:rsidRDefault="001A5A26" w:rsidP="001A5A26">
      <w:pPr>
        <w:pStyle w:val="Bodytext1"/>
        <w:spacing w:before="0" w:after="0" w:line="240" w:lineRule="auto"/>
        <w:rPr>
          <w:rFonts w:ascii="Arial" w:hAnsi="Arial" w:cs="Arial"/>
          <w:color w:val="auto"/>
        </w:rPr>
      </w:pPr>
      <w:r w:rsidRPr="001A5A26">
        <w:rPr>
          <w:rFonts w:ascii="Arial" w:hAnsi="Arial" w:cs="Arial"/>
          <w:color w:val="auto"/>
        </w:rPr>
        <w:t>As well as acting as the main point of contact for queries relating to governance within the trust, lead governance professionals proactively update those governing by providing advice and guidance on:</w:t>
      </w:r>
    </w:p>
    <w:p w14:paraId="79395711"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complex, technical issues that relate to governing structures, procedures and the legal framework that underpins them</w:t>
      </w:r>
    </w:p>
    <w:p w14:paraId="27CE2F8C"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 xml:space="preserve">quality assuring governance advice given by others ensuring that it is informed by an intelligent assessment of risk </w:t>
      </w:r>
    </w:p>
    <w:p w14:paraId="2C02D7D1"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 xml:space="preserve">risk informed assessments of options for support and interventions to strengthen governance </w:t>
      </w:r>
    </w:p>
    <w:p w14:paraId="041E2B1F"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high level issue resolution</w:t>
      </w:r>
    </w:p>
    <w:p w14:paraId="1468EE99"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 xml:space="preserve">highlighting </w:t>
      </w:r>
      <w:proofErr w:type="gramStart"/>
      <w:r w:rsidRPr="001A5A26">
        <w:rPr>
          <w:rFonts w:ascii="Arial" w:hAnsi="Arial" w:cs="Arial"/>
        </w:rPr>
        <w:t>evidenced</w:t>
      </w:r>
      <w:proofErr w:type="gramEnd"/>
      <w:r w:rsidRPr="001A5A26">
        <w:rPr>
          <w:rFonts w:ascii="Arial" w:hAnsi="Arial" w:cs="Arial"/>
        </w:rPr>
        <w:t xml:space="preserve"> based best practice, policy and thought leadership in school governance </w:t>
      </w:r>
    </w:p>
    <w:p w14:paraId="18962F1D"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carrying out the duties of a company secretary (see below)</w:t>
      </w:r>
    </w:p>
    <w:p w14:paraId="53C687ED" w14:textId="77777777" w:rsidR="001A5A26" w:rsidRPr="001A5A26" w:rsidRDefault="001A5A26" w:rsidP="001A5A26">
      <w:pPr>
        <w:pStyle w:val="Bodytextbullets"/>
        <w:numPr>
          <w:ilvl w:val="0"/>
          <w:numId w:val="0"/>
        </w:numPr>
        <w:spacing w:before="0" w:after="0" w:line="240" w:lineRule="auto"/>
        <w:ind w:left="360"/>
        <w:rPr>
          <w:rFonts w:ascii="Arial" w:hAnsi="Arial" w:cs="Arial"/>
        </w:rPr>
      </w:pPr>
    </w:p>
    <w:p w14:paraId="549A229B" w14:textId="77777777" w:rsidR="001A5A26" w:rsidRPr="001A5A26" w:rsidRDefault="001A5A26" w:rsidP="001A5A26">
      <w:pPr>
        <w:pStyle w:val="Heading3"/>
        <w:spacing w:before="0" w:after="0" w:line="240" w:lineRule="auto"/>
        <w:rPr>
          <w:rFonts w:ascii="Arial" w:hAnsi="Arial" w:cs="Arial"/>
          <w:b/>
          <w:bCs/>
          <w:color w:val="auto"/>
          <w:sz w:val="22"/>
        </w:rPr>
      </w:pPr>
      <w:r w:rsidRPr="001A5A26">
        <w:rPr>
          <w:rFonts w:ascii="Arial" w:hAnsi="Arial" w:cs="Arial"/>
          <w:b/>
          <w:bCs/>
          <w:color w:val="auto"/>
          <w:sz w:val="22"/>
        </w:rPr>
        <w:t>Developing governance</w:t>
      </w:r>
    </w:p>
    <w:p w14:paraId="3D7175F6" w14:textId="77777777" w:rsidR="001A5A26" w:rsidRPr="001A5A26" w:rsidRDefault="001A5A26" w:rsidP="001A5A26">
      <w:pPr>
        <w:rPr>
          <w:rFonts w:eastAsiaTheme="minorEastAsia"/>
        </w:rPr>
      </w:pPr>
    </w:p>
    <w:p w14:paraId="382E818E" w14:textId="77777777" w:rsidR="001A5A26" w:rsidRPr="001A5A26" w:rsidRDefault="001A5A26" w:rsidP="001A5A26">
      <w:pPr>
        <w:pStyle w:val="Bodytext1"/>
        <w:spacing w:before="0" w:after="0" w:line="240" w:lineRule="auto"/>
        <w:rPr>
          <w:rFonts w:ascii="Arial" w:hAnsi="Arial" w:cs="Arial"/>
          <w:color w:val="auto"/>
        </w:rPr>
      </w:pPr>
      <w:r w:rsidRPr="001A5A26">
        <w:rPr>
          <w:rFonts w:ascii="Arial" w:hAnsi="Arial" w:cs="Arial"/>
          <w:color w:val="auto"/>
        </w:rPr>
        <w:t>In many cases, lead governance professionals clerk meetings of the trust board and its committees, ensuring these enable the successful delivery of strategic objectives. As such, they have a key role in:</w:t>
      </w:r>
    </w:p>
    <w:p w14:paraId="6B2CF7FB"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keeping the board focused on its core strategic priorities, their strategic leadership responsibilities and their duty to maintain the highest professional standards of conduct and ethics</w:t>
      </w:r>
    </w:p>
    <w:p w14:paraId="37323864"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setting the cycle of trust board and committee meetings and preparing focused agendas</w:t>
      </w:r>
    </w:p>
    <w:p w14:paraId="1CAA36DC" w14:textId="77777777" w:rsidR="001A5A26" w:rsidRPr="001A5A26" w:rsidRDefault="001A5A26" w:rsidP="001A5A26">
      <w:pPr>
        <w:pStyle w:val="Bodytextbullets"/>
        <w:spacing w:before="0" w:after="0" w:line="240" w:lineRule="auto"/>
        <w:rPr>
          <w:rFonts w:ascii="Arial" w:hAnsi="Arial" w:cs="Arial"/>
        </w:rPr>
      </w:pPr>
      <w:proofErr w:type="gramStart"/>
      <w:r w:rsidRPr="001A5A26">
        <w:rPr>
          <w:rFonts w:ascii="Arial" w:hAnsi="Arial" w:cs="Arial"/>
        </w:rPr>
        <w:t>ensuring</w:t>
      </w:r>
      <w:proofErr w:type="gramEnd"/>
      <w:r w:rsidRPr="001A5A26">
        <w:rPr>
          <w:rFonts w:ascii="Arial" w:hAnsi="Arial" w:cs="Arial"/>
        </w:rPr>
        <w:t xml:space="preserve"> all meetings are inclusive and well structured</w:t>
      </w:r>
    </w:p>
    <w:p w14:paraId="49076A4A"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lastRenderedPageBreak/>
        <w:t>satisfying all aspects of meeting compliance as stipulated in the trust’s articles of association and the Academy Trust Handbook, and in accordance with arrangements agreed by the board</w:t>
      </w:r>
    </w:p>
    <w:p w14:paraId="3C8586F4"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developing governing structures, particularly in relation to committee structures and the scheme of delegation, and routines across schools (hubs, locality models etc.) and monitoring effectiveness</w:t>
      </w:r>
    </w:p>
    <w:p w14:paraId="699711F5"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 xml:space="preserve">ensuring governing structures are developed in parallel with </w:t>
      </w:r>
      <w:proofErr w:type="spellStart"/>
      <w:r w:rsidRPr="001A5A26">
        <w:rPr>
          <w:rFonts w:ascii="Arial" w:hAnsi="Arial" w:cs="Arial"/>
        </w:rPr>
        <w:t>organisational</w:t>
      </w:r>
      <w:proofErr w:type="spellEnd"/>
      <w:r w:rsidRPr="001A5A26">
        <w:rPr>
          <w:rFonts w:ascii="Arial" w:hAnsi="Arial" w:cs="Arial"/>
        </w:rPr>
        <w:t xml:space="preserve"> growth strategies </w:t>
      </w:r>
    </w:p>
    <w:p w14:paraId="6398E39B"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developing, reviewing and maintaining governance documents, such as articles of association, schemes of delegation, terms of reference, role descriptions and code of conduct</w:t>
      </w:r>
    </w:p>
    <w:p w14:paraId="7B6097F5"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developing record management and communication methods that are fit for purpose and maintain confidentiality</w:t>
      </w:r>
    </w:p>
    <w:p w14:paraId="43B28C5D"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 xml:space="preserve">overseeing a strategy and protocol for recruiting governors and trustees that ensures the </w:t>
      </w:r>
      <w:proofErr w:type="gramStart"/>
      <w:r w:rsidRPr="001A5A26">
        <w:rPr>
          <w:rFonts w:ascii="Arial" w:hAnsi="Arial" w:cs="Arial"/>
        </w:rPr>
        <w:t>board</w:t>
      </w:r>
      <w:proofErr w:type="gramEnd"/>
      <w:r w:rsidRPr="001A5A26">
        <w:rPr>
          <w:rFonts w:ascii="Arial" w:hAnsi="Arial" w:cs="Arial"/>
        </w:rPr>
        <w:t xml:space="preserve"> and its committees are properly constituted, inclusive, diverse and meet the needs of the </w:t>
      </w:r>
      <w:proofErr w:type="spellStart"/>
      <w:r w:rsidRPr="001A5A26">
        <w:rPr>
          <w:rFonts w:ascii="Arial" w:hAnsi="Arial" w:cs="Arial"/>
        </w:rPr>
        <w:t>organisation</w:t>
      </w:r>
      <w:proofErr w:type="spellEnd"/>
    </w:p>
    <w:p w14:paraId="33BF9717"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leading on the strategy and planning of governance induction and CPD</w:t>
      </w:r>
    </w:p>
    <w:p w14:paraId="581415E3"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 xml:space="preserve">developing and overseeing systems for board self-evaluation and review, including commissioning of external reviews </w:t>
      </w:r>
    </w:p>
    <w:p w14:paraId="27B90978" w14:textId="77777777" w:rsidR="001A5A26" w:rsidRPr="001A5A26" w:rsidRDefault="001A5A26" w:rsidP="001A5A26">
      <w:pPr>
        <w:pStyle w:val="Bodytextbullets"/>
        <w:numPr>
          <w:ilvl w:val="0"/>
          <w:numId w:val="0"/>
        </w:numPr>
        <w:spacing w:before="0" w:after="0" w:line="240" w:lineRule="auto"/>
        <w:ind w:left="360"/>
        <w:rPr>
          <w:rFonts w:ascii="Arial" w:hAnsi="Arial" w:cs="Arial"/>
        </w:rPr>
      </w:pPr>
    </w:p>
    <w:p w14:paraId="159878B7" w14:textId="77777777" w:rsidR="001A5A26" w:rsidRPr="001A5A26" w:rsidRDefault="001A5A26" w:rsidP="001A5A26">
      <w:pPr>
        <w:pStyle w:val="Heading3"/>
        <w:spacing w:before="0" w:after="0" w:line="240" w:lineRule="auto"/>
        <w:rPr>
          <w:rFonts w:ascii="Arial" w:hAnsi="Arial" w:cs="Arial"/>
          <w:b/>
          <w:bCs/>
          <w:color w:val="auto"/>
          <w:sz w:val="22"/>
        </w:rPr>
      </w:pPr>
      <w:r w:rsidRPr="001A5A26">
        <w:rPr>
          <w:rFonts w:ascii="Arial" w:hAnsi="Arial" w:cs="Arial"/>
          <w:b/>
          <w:bCs/>
          <w:color w:val="auto"/>
          <w:sz w:val="22"/>
        </w:rPr>
        <w:t>Leading on compliance</w:t>
      </w:r>
    </w:p>
    <w:p w14:paraId="07D9B42B" w14:textId="77777777" w:rsidR="001A5A26" w:rsidRPr="001A5A26" w:rsidRDefault="001A5A26" w:rsidP="001A5A26"/>
    <w:p w14:paraId="155BB064" w14:textId="77777777" w:rsidR="001A5A26" w:rsidRPr="001A5A26" w:rsidRDefault="001A5A26" w:rsidP="001A5A26">
      <w:pPr>
        <w:pStyle w:val="Bodytext1"/>
        <w:spacing w:before="0" w:after="0" w:line="240" w:lineRule="auto"/>
        <w:rPr>
          <w:rFonts w:ascii="Arial" w:hAnsi="Arial" w:cs="Arial"/>
          <w:color w:val="auto"/>
        </w:rPr>
      </w:pPr>
      <w:r w:rsidRPr="001A5A26">
        <w:rPr>
          <w:rFonts w:ascii="Arial" w:hAnsi="Arial" w:cs="Arial"/>
          <w:color w:val="auto"/>
        </w:rPr>
        <w:t>Lead governance professionals manage information and documentation that clearly details the trust’s governance arrangements and satisfies other statutory requirements, including (but not limited to):</w:t>
      </w:r>
    </w:p>
    <w:p w14:paraId="798AB0BC"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maintaining appropriate records of trust board and academy committee membership, along with any terms of reference</w:t>
      </w:r>
    </w:p>
    <w:p w14:paraId="58AB1647"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maintaining a trust policy register and advising on the policy review and approval cycle</w:t>
      </w:r>
    </w:p>
    <w:p w14:paraId="368296E8"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ensuring copies of statutory policies and other statutory documents such as the scheme of delegation and register of interests are published as agreed (on the trust and/or school website) and in line with statutory requirements</w:t>
      </w:r>
    </w:p>
    <w:p w14:paraId="4AE41873"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ensuring that governance-specific risks are included in the trust’s risk register</w:t>
      </w:r>
    </w:p>
    <w:p w14:paraId="2B8AC946"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supporting production of the annual report and governance statement published with the trust’s annual accounts</w:t>
      </w:r>
    </w:p>
    <w:p w14:paraId="06583F93" w14:textId="77777777" w:rsidR="001A5A26" w:rsidRPr="001A5A26" w:rsidRDefault="001A5A26" w:rsidP="001A5A26">
      <w:pPr>
        <w:pStyle w:val="Bodytextbullets"/>
        <w:spacing w:before="0" w:after="0" w:line="240" w:lineRule="auto"/>
        <w:rPr>
          <w:rFonts w:ascii="Arial" w:hAnsi="Arial" w:cs="Arial"/>
          <w:u w:val="single"/>
        </w:rPr>
      </w:pPr>
      <w:r w:rsidRPr="001A5A26">
        <w:rPr>
          <w:rFonts w:ascii="Arial" w:hAnsi="Arial" w:cs="Arial"/>
        </w:rPr>
        <w:t>managing the flow of information between the trust board and academy committees and members, maintaining an up-to-date record of academy committee business</w:t>
      </w:r>
    </w:p>
    <w:p w14:paraId="028BA646" w14:textId="77777777" w:rsidR="001A5A26" w:rsidRPr="001A5A26" w:rsidRDefault="001A5A26" w:rsidP="001A5A26">
      <w:pPr>
        <w:pStyle w:val="Bodytextbullets"/>
        <w:spacing w:before="0" w:after="0" w:line="240" w:lineRule="auto"/>
        <w:rPr>
          <w:rFonts w:ascii="Arial" w:hAnsi="Arial" w:cs="Arial"/>
          <w:u w:val="single"/>
        </w:rPr>
      </w:pPr>
      <w:r w:rsidRPr="001A5A26">
        <w:rPr>
          <w:rFonts w:ascii="Arial" w:hAnsi="Arial" w:cs="Arial"/>
        </w:rPr>
        <w:t>developing trust-specific documents such as a governance code of conduct and skills matrix</w:t>
      </w:r>
    </w:p>
    <w:p w14:paraId="427683ED"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maintaining the trust’s online governance portal or equivalent</w:t>
      </w:r>
    </w:p>
    <w:p w14:paraId="57AFF34A"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the application of policies, procedures, and relevant legislation/guidance across the trust</w:t>
      </w:r>
    </w:p>
    <w:p w14:paraId="7A46AAE1" w14:textId="77777777" w:rsidR="001A5A26" w:rsidRPr="001A5A26" w:rsidRDefault="001A5A26" w:rsidP="001A5A26">
      <w:pPr>
        <w:pStyle w:val="Bodytextbullets"/>
        <w:numPr>
          <w:ilvl w:val="0"/>
          <w:numId w:val="0"/>
        </w:numPr>
        <w:spacing w:before="0" w:after="0" w:line="240" w:lineRule="auto"/>
        <w:ind w:left="360"/>
        <w:rPr>
          <w:rFonts w:ascii="Arial" w:hAnsi="Arial" w:cs="Arial"/>
        </w:rPr>
      </w:pPr>
    </w:p>
    <w:p w14:paraId="141546B6" w14:textId="77777777" w:rsidR="001A5A26" w:rsidRPr="001A5A26" w:rsidRDefault="001A5A26" w:rsidP="001A5A26">
      <w:pPr>
        <w:pStyle w:val="Heading3"/>
        <w:spacing w:before="0" w:after="0" w:line="240" w:lineRule="auto"/>
        <w:rPr>
          <w:rFonts w:ascii="Arial" w:hAnsi="Arial" w:cs="Arial"/>
          <w:b/>
          <w:bCs/>
          <w:color w:val="auto"/>
          <w:sz w:val="22"/>
        </w:rPr>
      </w:pPr>
      <w:r w:rsidRPr="001A5A26">
        <w:rPr>
          <w:rFonts w:ascii="Arial" w:hAnsi="Arial" w:cs="Arial"/>
          <w:b/>
          <w:bCs/>
          <w:color w:val="auto"/>
          <w:sz w:val="22"/>
        </w:rPr>
        <w:t>Leadership management</w:t>
      </w:r>
    </w:p>
    <w:p w14:paraId="6C179277" w14:textId="77777777" w:rsidR="001A5A26" w:rsidRPr="001A5A26" w:rsidRDefault="001A5A26" w:rsidP="001A5A26"/>
    <w:p w14:paraId="0F466C04"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 xml:space="preserve">overseeing recruitment and induction of the governance support team/clerks </w:t>
      </w:r>
    </w:p>
    <w:p w14:paraId="1BAA9C43"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briefing and training staff</w:t>
      </w:r>
    </w:p>
    <w:p w14:paraId="7B3982C3"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conducting performance management and appraisals</w:t>
      </w:r>
    </w:p>
    <w:p w14:paraId="685A7D88" w14:textId="77777777" w:rsidR="001A5A26" w:rsidRPr="001A5A26" w:rsidRDefault="001A5A26" w:rsidP="001A5A26">
      <w:pPr>
        <w:pStyle w:val="Bodytextbullets"/>
        <w:spacing w:before="0" w:after="0" w:line="240" w:lineRule="auto"/>
        <w:rPr>
          <w:rFonts w:ascii="Arial" w:hAnsi="Arial" w:cs="Arial"/>
        </w:rPr>
      </w:pPr>
      <w:proofErr w:type="gramStart"/>
      <w:r w:rsidRPr="001A5A26">
        <w:rPr>
          <w:rFonts w:ascii="Arial" w:hAnsi="Arial" w:cs="Arial"/>
        </w:rPr>
        <w:t>succession</w:t>
      </w:r>
      <w:proofErr w:type="gramEnd"/>
      <w:r w:rsidRPr="001A5A26">
        <w:rPr>
          <w:rFonts w:ascii="Arial" w:hAnsi="Arial" w:cs="Arial"/>
        </w:rPr>
        <w:t xml:space="preserve"> planning for different roles in the structure</w:t>
      </w:r>
    </w:p>
    <w:p w14:paraId="728EACA2" w14:textId="77777777" w:rsidR="001A5A26" w:rsidRPr="001A5A26" w:rsidRDefault="001A5A26" w:rsidP="001A5A26">
      <w:pPr>
        <w:pStyle w:val="Bodytextbullets"/>
        <w:spacing w:before="0" w:after="0" w:line="240" w:lineRule="auto"/>
        <w:rPr>
          <w:rFonts w:ascii="Arial" w:hAnsi="Arial" w:cs="Arial"/>
        </w:rPr>
      </w:pPr>
      <w:r w:rsidRPr="001A5A26">
        <w:rPr>
          <w:rFonts w:ascii="Arial" w:hAnsi="Arial" w:cs="Arial"/>
        </w:rPr>
        <w:t>managing any budget and resources allocated to the governance support function</w:t>
      </w:r>
    </w:p>
    <w:p w14:paraId="3C939323" w14:textId="77777777" w:rsidR="001A5A26" w:rsidRPr="001A5A26" w:rsidRDefault="001A5A26" w:rsidP="001A5A26">
      <w:pPr>
        <w:pStyle w:val="Bodytextbullets"/>
        <w:numPr>
          <w:ilvl w:val="0"/>
          <w:numId w:val="0"/>
        </w:numPr>
        <w:spacing w:before="0" w:after="0" w:line="240" w:lineRule="auto"/>
        <w:ind w:left="360"/>
        <w:rPr>
          <w:rFonts w:ascii="Arial" w:hAnsi="Arial" w:cs="Arial"/>
        </w:rPr>
      </w:pPr>
    </w:p>
    <w:p w14:paraId="6681C812" w14:textId="77777777" w:rsidR="001A5A26" w:rsidRPr="001A5A26" w:rsidRDefault="001A5A26" w:rsidP="001A5A26">
      <w:pPr>
        <w:pStyle w:val="Heading3"/>
        <w:spacing w:before="0" w:after="0" w:line="240" w:lineRule="auto"/>
        <w:rPr>
          <w:rFonts w:ascii="Arial" w:hAnsi="Arial" w:cs="Arial"/>
          <w:b/>
          <w:bCs/>
          <w:color w:val="auto"/>
          <w:sz w:val="22"/>
        </w:rPr>
      </w:pPr>
      <w:r w:rsidRPr="001A5A26">
        <w:rPr>
          <w:rFonts w:ascii="Arial" w:hAnsi="Arial" w:cs="Arial"/>
          <w:b/>
          <w:bCs/>
          <w:color w:val="auto"/>
          <w:sz w:val="22"/>
        </w:rPr>
        <w:t>Maintaining relationships and communication</w:t>
      </w:r>
    </w:p>
    <w:p w14:paraId="50C9DAD6" w14:textId="77777777" w:rsidR="001A5A26" w:rsidRPr="001A5A26" w:rsidRDefault="001A5A26" w:rsidP="001A5A26"/>
    <w:p w14:paraId="1BE5593F" w14:textId="77777777" w:rsidR="001A5A26" w:rsidRPr="001A5A26" w:rsidRDefault="001A5A26" w:rsidP="001A5A26">
      <w:pPr>
        <w:pStyle w:val="Bodytext1"/>
        <w:spacing w:before="0" w:after="0" w:line="240" w:lineRule="auto"/>
        <w:rPr>
          <w:rFonts w:ascii="Arial" w:hAnsi="Arial" w:cs="Arial"/>
          <w:color w:val="auto"/>
        </w:rPr>
      </w:pPr>
      <w:r w:rsidRPr="001A5A26">
        <w:rPr>
          <w:rFonts w:ascii="Arial" w:hAnsi="Arial" w:cs="Arial"/>
          <w:color w:val="auto"/>
        </w:rPr>
        <w:t>Lead governance professionals develop and maintain productive working relationships while maintaining independence by:</w:t>
      </w:r>
    </w:p>
    <w:p w14:paraId="489D7F48" w14:textId="77777777" w:rsidR="001A5A26" w:rsidRPr="001A5A26" w:rsidRDefault="001A5A26" w:rsidP="001A5A26">
      <w:pPr>
        <w:pStyle w:val="Bodytextbullets"/>
        <w:spacing w:before="0" w:after="0" w:line="240" w:lineRule="auto"/>
        <w:ind w:left="357" w:hanging="357"/>
        <w:rPr>
          <w:rFonts w:ascii="Arial" w:hAnsi="Arial" w:cs="Arial"/>
        </w:rPr>
      </w:pPr>
      <w:r w:rsidRPr="001A5A26">
        <w:rPr>
          <w:rFonts w:ascii="Arial" w:hAnsi="Arial" w:cs="Arial"/>
        </w:rPr>
        <w:t xml:space="preserve">working collaboratively and holistically with stakeholders in and outside of the </w:t>
      </w:r>
      <w:proofErr w:type="spellStart"/>
      <w:r w:rsidRPr="001A5A26">
        <w:rPr>
          <w:rFonts w:ascii="Arial" w:hAnsi="Arial" w:cs="Arial"/>
        </w:rPr>
        <w:t>organisation</w:t>
      </w:r>
      <w:proofErr w:type="spellEnd"/>
      <w:r w:rsidRPr="001A5A26">
        <w:rPr>
          <w:rFonts w:ascii="Arial" w:hAnsi="Arial" w:cs="Arial"/>
        </w:rPr>
        <w:t xml:space="preserve"> so that governance supports and enables the operational delivery of strategic objectives</w:t>
      </w:r>
    </w:p>
    <w:p w14:paraId="5D28CC3D" w14:textId="77777777" w:rsidR="001A5A26" w:rsidRPr="001A5A26" w:rsidRDefault="001A5A26" w:rsidP="001A5A26">
      <w:pPr>
        <w:pStyle w:val="Bodytextbullets"/>
        <w:spacing w:before="0" w:after="0" w:line="240" w:lineRule="auto"/>
        <w:ind w:left="357" w:hanging="357"/>
        <w:rPr>
          <w:rFonts w:ascii="Arial" w:hAnsi="Arial" w:cs="Arial"/>
        </w:rPr>
      </w:pPr>
      <w:r w:rsidRPr="001A5A26">
        <w:rPr>
          <w:rFonts w:ascii="Arial" w:hAnsi="Arial" w:cs="Arial"/>
        </w:rPr>
        <w:t>ensuring relevant authorities are notified of changes to membership and governance structures as appropriate</w:t>
      </w:r>
    </w:p>
    <w:p w14:paraId="16DA8397" w14:textId="34DCD84A" w:rsidR="001A5A26" w:rsidRPr="001A5A26" w:rsidRDefault="001A5A26" w:rsidP="001A5A26">
      <w:pPr>
        <w:pStyle w:val="Bodytextbullets"/>
        <w:spacing w:before="0" w:after="0" w:line="240" w:lineRule="auto"/>
        <w:ind w:left="357" w:hanging="357"/>
        <w:rPr>
          <w:rFonts w:ascii="Arial" w:hAnsi="Arial" w:cs="Arial"/>
        </w:rPr>
      </w:pPr>
      <w:r w:rsidRPr="001A5A26">
        <w:rPr>
          <w:rFonts w:ascii="Arial" w:hAnsi="Arial" w:cs="Arial"/>
        </w:rPr>
        <w:t xml:space="preserve">being a role model for effective and ethical </w:t>
      </w:r>
      <w:proofErr w:type="spellStart"/>
      <w:r w:rsidRPr="001A5A26">
        <w:rPr>
          <w:rFonts w:ascii="Arial" w:hAnsi="Arial" w:cs="Arial"/>
        </w:rPr>
        <w:t>governan</w:t>
      </w:r>
      <w:proofErr w:type="spellEnd"/>
    </w:p>
    <w:p w14:paraId="6B0EC093" w14:textId="77777777" w:rsidR="001434F9" w:rsidRDefault="001434F9" w:rsidP="006A14AA">
      <w:pPr>
        <w:jc w:val="both"/>
        <w:rPr>
          <w:rFonts w:ascii="Arial" w:hAnsi="Arial" w:cs="Arial"/>
          <w:sz w:val="22"/>
          <w:szCs w:val="22"/>
        </w:rPr>
      </w:pPr>
    </w:p>
    <w:tbl>
      <w:tblPr>
        <w:tblW w:w="10173" w:type="dxa"/>
        <w:tblBorders>
          <w:bottom w:val="single" w:sz="4" w:space="0" w:color="auto"/>
        </w:tblBorders>
        <w:tblLook w:val="0000" w:firstRow="0" w:lastRow="0" w:firstColumn="0" w:lastColumn="0" w:noHBand="0" w:noVBand="0"/>
      </w:tblPr>
      <w:tblGrid>
        <w:gridCol w:w="6345"/>
        <w:gridCol w:w="3828"/>
      </w:tblGrid>
      <w:tr w:rsidR="001434F9" w:rsidRPr="0093442A" w14:paraId="4A0CB3C7" w14:textId="77777777" w:rsidTr="00513F0D">
        <w:tc>
          <w:tcPr>
            <w:tcW w:w="6345" w:type="dxa"/>
            <w:vAlign w:val="center"/>
          </w:tcPr>
          <w:p w14:paraId="2A410DB5" w14:textId="32DE36B4" w:rsidR="001434F9" w:rsidRPr="00714765" w:rsidRDefault="001434F9" w:rsidP="006A14AA">
            <w:pPr>
              <w:rPr>
                <w:rFonts w:ascii="Arial" w:hAnsi="Arial" w:cs="Arial"/>
                <w:b/>
                <w:sz w:val="22"/>
                <w:szCs w:val="22"/>
              </w:rPr>
            </w:pPr>
            <w:r>
              <w:rPr>
                <w:rFonts w:ascii="Arial" w:hAnsi="Arial" w:cs="Arial"/>
                <w:b/>
                <w:sz w:val="22"/>
                <w:szCs w:val="22"/>
              </w:rPr>
              <w:lastRenderedPageBreak/>
              <w:t>Person Specification</w:t>
            </w:r>
            <w:r w:rsidRPr="00714765">
              <w:rPr>
                <w:rFonts w:ascii="Arial" w:hAnsi="Arial" w:cs="Arial"/>
                <w:b/>
                <w:sz w:val="22"/>
                <w:szCs w:val="22"/>
              </w:rPr>
              <w:t xml:space="preserve"> – </w:t>
            </w:r>
            <w:r w:rsidR="00275ED7">
              <w:rPr>
                <w:rFonts w:ascii="Arial" w:hAnsi="Arial" w:cs="Arial"/>
                <w:b/>
                <w:sz w:val="22"/>
                <w:szCs w:val="22"/>
              </w:rPr>
              <w:t xml:space="preserve">Governance </w:t>
            </w:r>
            <w:r w:rsidR="00693F56">
              <w:rPr>
                <w:rFonts w:ascii="Arial" w:hAnsi="Arial" w:cs="Arial"/>
                <w:b/>
                <w:sz w:val="22"/>
                <w:szCs w:val="22"/>
              </w:rPr>
              <w:t>Lead</w:t>
            </w:r>
          </w:p>
        </w:tc>
        <w:tc>
          <w:tcPr>
            <w:tcW w:w="3828" w:type="dxa"/>
          </w:tcPr>
          <w:p w14:paraId="1CB79646" w14:textId="5AF6382A" w:rsidR="001434F9" w:rsidRPr="00714765" w:rsidRDefault="0031613C" w:rsidP="0031613C">
            <w:pPr>
              <w:jc w:val="right"/>
              <w:rPr>
                <w:rFonts w:ascii="Arial" w:hAnsi="Arial" w:cs="Arial"/>
                <w:b/>
                <w:sz w:val="22"/>
                <w:szCs w:val="22"/>
              </w:rPr>
            </w:pPr>
            <w:r>
              <w:rPr>
                <w:noProof/>
              </w:rPr>
              <w:drawing>
                <wp:inline distT="0" distB="0" distL="0" distR="0" wp14:anchorId="32D578D4" wp14:editId="42892120">
                  <wp:extent cx="1381125" cy="552450"/>
                  <wp:effectExtent l="0" t="0" r="9525" b="0"/>
                  <wp:docPr id="2091558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61799"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6459A38C" w14:textId="77777777" w:rsidR="001434F9" w:rsidRPr="00DD0E3B" w:rsidRDefault="001434F9" w:rsidP="006A14AA">
      <w:pPr>
        <w:rPr>
          <w:rFonts w:ascii="Arial" w:hAnsi="Arial" w:cs="Arial"/>
          <w:b/>
          <w:sz w:val="22"/>
          <w:szCs w:val="22"/>
        </w:rPr>
      </w:pPr>
    </w:p>
    <w:p w14:paraId="1F6BAE59" w14:textId="77777777" w:rsidR="002E0FC3" w:rsidRPr="00AB6ADF" w:rsidRDefault="002E0FC3" w:rsidP="006A14AA">
      <w:pPr>
        <w:jc w:val="both"/>
        <w:rPr>
          <w:rFonts w:ascii="Arial" w:hAnsi="Arial" w:cs="Arial"/>
          <w:b/>
          <w:sz w:val="22"/>
          <w:szCs w:val="22"/>
        </w:rPr>
      </w:pPr>
      <w:r w:rsidRPr="00AB6ADF">
        <w:rPr>
          <w:rFonts w:ascii="Arial" w:hAnsi="Arial" w:cs="Arial"/>
          <w:b/>
          <w:sz w:val="22"/>
          <w:szCs w:val="22"/>
        </w:rPr>
        <w:t>Essential</w:t>
      </w:r>
    </w:p>
    <w:p w14:paraId="010C46EE" w14:textId="77777777" w:rsidR="002E0FC3" w:rsidRDefault="002E0FC3" w:rsidP="006A14AA">
      <w:pPr>
        <w:jc w:val="both"/>
        <w:rPr>
          <w:rFonts w:ascii="Arial" w:hAnsi="Arial" w:cs="Arial"/>
          <w:sz w:val="22"/>
          <w:szCs w:val="22"/>
        </w:rPr>
      </w:pPr>
    </w:p>
    <w:p w14:paraId="4F09CD96" w14:textId="3BC04B05" w:rsidR="002E0FC3" w:rsidRPr="002F169D" w:rsidRDefault="009910D8" w:rsidP="006A14AA">
      <w:pPr>
        <w:pStyle w:val="ListParagraph"/>
        <w:numPr>
          <w:ilvl w:val="0"/>
          <w:numId w:val="29"/>
        </w:numPr>
        <w:ind w:left="714" w:hanging="357"/>
        <w:rPr>
          <w:rFonts w:ascii="Arial" w:hAnsi="Arial" w:cs="Arial"/>
          <w:color w:val="000000"/>
          <w:sz w:val="22"/>
          <w:szCs w:val="22"/>
          <w:lang w:eastAsia="en-GB"/>
        </w:rPr>
      </w:pPr>
      <w:r w:rsidRPr="002F169D">
        <w:rPr>
          <w:rFonts w:ascii="Arial" w:hAnsi="Arial" w:cs="Arial"/>
          <w:color w:val="000000"/>
          <w:sz w:val="22"/>
          <w:szCs w:val="22"/>
          <w:lang w:eastAsia="en-GB"/>
        </w:rPr>
        <w:t xml:space="preserve">Completed, or </w:t>
      </w:r>
      <w:r w:rsidR="00A71F1A">
        <w:rPr>
          <w:rFonts w:ascii="Arial" w:hAnsi="Arial" w:cs="Arial"/>
          <w:color w:val="000000"/>
          <w:sz w:val="22"/>
          <w:szCs w:val="22"/>
          <w:lang w:eastAsia="en-GB"/>
        </w:rPr>
        <w:t>working towards the NGA Level 3 qualification or equivalent</w:t>
      </w:r>
    </w:p>
    <w:p w14:paraId="641572FE" w14:textId="77777777" w:rsidR="00693F56" w:rsidRPr="00693F56" w:rsidRDefault="00693F56" w:rsidP="00693F56">
      <w:pPr>
        <w:numPr>
          <w:ilvl w:val="0"/>
          <w:numId w:val="29"/>
        </w:numPr>
        <w:shd w:val="clear" w:color="auto" w:fill="FFFFFF"/>
        <w:rPr>
          <w:rFonts w:ascii="Arial" w:hAnsi="Arial" w:cs="Arial"/>
          <w:color w:val="000000"/>
          <w:sz w:val="22"/>
          <w:szCs w:val="22"/>
          <w:lang w:eastAsia="en-GB"/>
        </w:rPr>
      </w:pPr>
      <w:r w:rsidRPr="00693F56">
        <w:rPr>
          <w:rFonts w:ascii="Arial" w:hAnsi="Arial" w:cs="Arial"/>
          <w:color w:val="000000"/>
          <w:sz w:val="22"/>
          <w:szCs w:val="22"/>
          <w:lang w:eastAsia="en-GB"/>
        </w:rPr>
        <w:t>Proven experience in clerking and/or Governance support in educational context (FE experience is highly desirable but not essential)</w:t>
      </w:r>
    </w:p>
    <w:p w14:paraId="25E96B6B" w14:textId="77777777" w:rsidR="00693F56" w:rsidRPr="00693F56" w:rsidRDefault="00693F56" w:rsidP="00693F56">
      <w:pPr>
        <w:numPr>
          <w:ilvl w:val="0"/>
          <w:numId w:val="29"/>
        </w:numPr>
        <w:shd w:val="clear" w:color="auto" w:fill="FFFFFF"/>
        <w:rPr>
          <w:rFonts w:ascii="Arial" w:hAnsi="Arial" w:cs="Arial"/>
          <w:color w:val="000000"/>
          <w:sz w:val="22"/>
          <w:szCs w:val="22"/>
          <w:lang w:eastAsia="en-GB"/>
        </w:rPr>
      </w:pPr>
      <w:r w:rsidRPr="00693F56">
        <w:rPr>
          <w:rFonts w:ascii="Arial" w:hAnsi="Arial" w:cs="Arial"/>
          <w:color w:val="000000"/>
          <w:sz w:val="22"/>
          <w:szCs w:val="22"/>
          <w:lang w:eastAsia="en-GB"/>
        </w:rPr>
        <w:t>Strong understanding of statutory governance requirements</w:t>
      </w:r>
    </w:p>
    <w:p w14:paraId="06CAA5FE" w14:textId="77777777" w:rsidR="00693F56" w:rsidRPr="00693F56" w:rsidRDefault="00693F56" w:rsidP="00693F56">
      <w:pPr>
        <w:numPr>
          <w:ilvl w:val="0"/>
          <w:numId w:val="29"/>
        </w:numPr>
        <w:shd w:val="clear" w:color="auto" w:fill="FFFFFF"/>
        <w:rPr>
          <w:rFonts w:ascii="Arial" w:hAnsi="Arial" w:cs="Arial"/>
          <w:color w:val="000000"/>
          <w:sz w:val="22"/>
          <w:szCs w:val="22"/>
          <w:lang w:eastAsia="en-GB"/>
        </w:rPr>
      </w:pPr>
      <w:r w:rsidRPr="00693F56">
        <w:rPr>
          <w:rFonts w:ascii="Arial" w:hAnsi="Arial" w:cs="Arial"/>
          <w:color w:val="000000"/>
          <w:sz w:val="22"/>
          <w:szCs w:val="22"/>
          <w:lang w:eastAsia="en-GB"/>
        </w:rPr>
        <w:t>A proactive, improvement focused mindset with the confidence to bring clarity and order to evolving structures</w:t>
      </w:r>
    </w:p>
    <w:p w14:paraId="274EA4A4" w14:textId="77777777" w:rsidR="00693F56" w:rsidRPr="00693F56" w:rsidRDefault="00693F56" w:rsidP="00693F56">
      <w:pPr>
        <w:numPr>
          <w:ilvl w:val="0"/>
          <w:numId w:val="29"/>
        </w:numPr>
        <w:shd w:val="clear" w:color="auto" w:fill="FFFFFF"/>
        <w:rPr>
          <w:rFonts w:ascii="Arial" w:hAnsi="Arial" w:cs="Arial"/>
          <w:color w:val="000000"/>
          <w:sz w:val="22"/>
          <w:szCs w:val="22"/>
          <w:lang w:eastAsia="en-GB"/>
        </w:rPr>
      </w:pPr>
      <w:r w:rsidRPr="00693F56">
        <w:rPr>
          <w:rFonts w:ascii="Arial" w:hAnsi="Arial" w:cs="Arial"/>
          <w:color w:val="000000"/>
          <w:sz w:val="22"/>
          <w:szCs w:val="22"/>
          <w:lang w:eastAsia="en-GB"/>
        </w:rPr>
        <w:t>The ability to build strong working relationships with senior leaders and Trustees</w:t>
      </w:r>
    </w:p>
    <w:p w14:paraId="0F0EF73B" w14:textId="77777777" w:rsidR="00693F56" w:rsidRPr="00693F56" w:rsidRDefault="00693F56" w:rsidP="00693F56">
      <w:pPr>
        <w:numPr>
          <w:ilvl w:val="0"/>
          <w:numId w:val="29"/>
        </w:numPr>
        <w:shd w:val="clear" w:color="auto" w:fill="FFFFFF"/>
        <w:rPr>
          <w:rFonts w:ascii="Arial" w:hAnsi="Arial" w:cs="Arial"/>
          <w:color w:val="000000"/>
          <w:sz w:val="22"/>
          <w:szCs w:val="22"/>
          <w:lang w:eastAsia="en-GB"/>
        </w:rPr>
      </w:pPr>
      <w:r w:rsidRPr="00693F56">
        <w:rPr>
          <w:rFonts w:ascii="Arial" w:hAnsi="Arial" w:cs="Arial"/>
          <w:color w:val="000000"/>
          <w:sz w:val="22"/>
          <w:szCs w:val="22"/>
          <w:lang w:eastAsia="en-GB"/>
        </w:rPr>
        <w:t>Excellent organisational and communication skills, with an eye for detail and the ability to produce professional documentation</w:t>
      </w:r>
    </w:p>
    <w:p w14:paraId="4C2F4921" w14:textId="77777777" w:rsidR="00693F56" w:rsidRPr="00693F56" w:rsidRDefault="00693F56" w:rsidP="00693F56">
      <w:pPr>
        <w:numPr>
          <w:ilvl w:val="0"/>
          <w:numId w:val="29"/>
        </w:numPr>
        <w:shd w:val="clear" w:color="auto" w:fill="FFFFFF"/>
        <w:rPr>
          <w:rFonts w:ascii="Arial" w:hAnsi="Arial" w:cs="Arial"/>
          <w:color w:val="000000"/>
          <w:sz w:val="22"/>
          <w:szCs w:val="22"/>
          <w:lang w:eastAsia="en-GB"/>
        </w:rPr>
      </w:pPr>
      <w:r w:rsidRPr="00693F56">
        <w:rPr>
          <w:rFonts w:ascii="Arial" w:hAnsi="Arial" w:cs="Arial"/>
          <w:color w:val="000000"/>
          <w:sz w:val="22"/>
          <w:szCs w:val="22"/>
          <w:lang w:eastAsia="en-GB"/>
        </w:rPr>
        <w:t>A collaborative values-led approach with a genuine interest in supporting</w:t>
      </w:r>
    </w:p>
    <w:p w14:paraId="4D1567C1" w14:textId="77777777" w:rsidR="00693F56" w:rsidRPr="00693F56" w:rsidRDefault="00693F56" w:rsidP="00693F56">
      <w:pPr>
        <w:shd w:val="clear" w:color="auto" w:fill="FFFFFF"/>
        <w:ind w:left="720"/>
        <w:rPr>
          <w:rFonts w:ascii="Arial" w:hAnsi="Arial" w:cs="Arial"/>
          <w:color w:val="242424"/>
          <w:sz w:val="22"/>
          <w:szCs w:val="22"/>
          <w:lang w:eastAsia="en-GB"/>
        </w:rPr>
      </w:pPr>
      <w:r w:rsidRPr="00693F56">
        <w:rPr>
          <w:rFonts w:ascii="Arial" w:hAnsi="Arial" w:cs="Arial"/>
          <w:color w:val="000000"/>
          <w:sz w:val="22"/>
          <w:szCs w:val="22"/>
          <w:bdr w:val="none" w:sz="0" w:space="0" w:color="auto" w:frame="1"/>
          <w:lang w:eastAsia="en-GB"/>
        </w:rPr>
        <w:t>educational improvement</w:t>
      </w:r>
    </w:p>
    <w:p w14:paraId="713CBC72" w14:textId="4086F76F" w:rsidR="002E0FC3" w:rsidRPr="00693F56" w:rsidRDefault="004A7441" w:rsidP="006A14AA">
      <w:pPr>
        <w:pStyle w:val="ListParagraph"/>
        <w:numPr>
          <w:ilvl w:val="0"/>
          <w:numId w:val="29"/>
        </w:numPr>
        <w:ind w:left="714" w:hanging="357"/>
        <w:rPr>
          <w:rFonts w:ascii="Arial" w:hAnsi="Arial" w:cs="Arial"/>
          <w:color w:val="000000"/>
          <w:sz w:val="22"/>
          <w:szCs w:val="22"/>
          <w:lang w:eastAsia="en-GB"/>
        </w:rPr>
      </w:pPr>
      <w:r w:rsidRPr="00693F56">
        <w:rPr>
          <w:rFonts w:ascii="Arial" w:hAnsi="Arial" w:cs="Arial"/>
          <w:color w:val="000000"/>
          <w:sz w:val="22"/>
          <w:szCs w:val="22"/>
          <w:lang w:eastAsia="en-GB"/>
        </w:rPr>
        <w:t xml:space="preserve">Able to </w:t>
      </w:r>
      <w:proofErr w:type="gramStart"/>
      <w:r w:rsidRPr="00693F56">
        <w:rPr>
          <w:rFonts w:ascii="Arial" w:hAnsi="Arial" w:cs="Arial"/>
          <w:color w:val="000000"/>
          <w:sz w:val="22"/>
          <w:szCs w:val="22"/>
          <w:lang w:eastAsia="en-GB"/>
        </w:rPr>
        <w:t>m</w:t>
      </w:r>
      <w:r w:rsidR="002E0FC3" w:rsidRPr="00693F56">
        <w:rPr>
          <w:rFonts w:ascii="Arial" w:hAnsi="Arial" w:cs="Arial"/>
          <w:color w:val="000000"/>
          <w:sz w:val="22"/>
          <w:szCs w:val="22"/>
          <w:lang w:eastAsia="en-GB"/>
        </w:rPr>
        <w:t xml:space="preserve">aintain a professional </w:t>
      </w:r>
      <w:r w:rsidR="0024158F" w:rsidRPr="00693F56">
        <w:rPr>
          <w:rFonts w:ascii="Arial" w:hAnsi="Arial" w:cs="Arial"/>
          <w:color w:val="000000"/>
          <w:sz w:val="22"/>
          <w:szCs w:val="22"/>
          <w:lang w:eastAsia="en-GB"/>
        </w:rPr>
        <w:t xml:space="preserve">and confidential </w:t>
      </w:r>
      <w:r w:rsidR="002E0FC3" w:rsidRPr="00693F56">
        <w:rPr>
          <w:rFonts w:ascii="Arial" w:hAnsi="Arial" w:cs="Arial"/>
          <w:color w:val="000000"/>
          <w:sz w:val="22"/>
          <w:szCs w:val="22"/>
          <w:lang w:eastAsia="en-GB"/>
        </w:rPr>
        <w:t>approach at all times</w:t>
      </w:r>
      <w:proofErr w:type="gramEnd"/>
      <w:r w:rsidR="002E0FC3" w:rsidRPr="00693F56">
        <w:rPr>
          <w:rFonts w:ascii="Arial" w:hAnsi="Arial" w:cs="Arial"/>
          <w:color w:val="000000"/>
          <w:sz w:val="22"/>
          <w:szCs w:val="22"/>
          <w:lang w:eastAsia="en-GB"/>
        </w:rPr>
        <w:t>.</w:t>
      </w:r>
    </w:p>
    <w:p w14:paraId="6C4A8325" w14:textId="77777777" w:rsidR="002E0FC3" w:rsidRPr="00693F56" w:rsidRDefault="002E0FC3" w:rsidP="006A14AA">
      <w:pPr>
        <w:pStyle w:val="ListParagraph"/>
        <w:numPr>
          <w:ilvl w:val="0"/>
          <w:numId w:val="29"/>
        </w:numPr>
        <w:ind w:left="714" w:hanging="357"/>
        <w:rPr>
          <w:rFonts w:ascii="Arial" w:hAnsi="Arial" w:cs="Arial"/>
          <w:color w:val="000000"/>
          <w:sz w:val="22"/>
          <w:szCs w:val="22"/>
          <w:lang w:eastAsia="en-GB"/>
        </w:rPr>
      </w:pPr>
      <w:r w:rsidRPr="00693F56">
        <w:rPr>
          <w:rFonts w:ascii="Arial" w:hAnsi="Arial" w:cs="Arial"/>
          <w:color w:val="000000"/>
          <w:sz w:val="22"/>
          <w:szCs w:val="22"/>
          <w:lang w:eastAsia="en-GB"/>
        </w:rPr>
        <w:t>Have a flexible approach to working hours.</w:t>
      </w:r>
    </w:p>
    <w:p w14:paraId="01961696" w14:textId="77777777" w:rsidR="002E0FC3" w:rsidRPr="001B04DD" w:rsidRDefault="002E0FC3" w:rsidP="006A14AA">
      <w:pPr>
        <w:jc w:val="both"/>
        <w:rPr>
          <w:rFonts w:ascii="Arial" w:hAnsi="Arial" w:cs="Arial"/>
          <w:sz w:val="22"/>
          <w:szCs w:val="22"/>
        </w:rPr>
      </w:pPr>
    </w:p>
    <w:p w14:paraId="3AC81E59" w14:textId="77777777" w:rsidR="001434F9" w:rsidRPr="00FD7039" w:rsidRDefault="001434F9" w:rsidP="006A14AA">
      <w:pPr>
        <w:jc w:val="both"/>
        <w:rPr>
          <w:rFonts w:ascii="Arial" w:hAnsi="Arial" w:cs="Arial"/>
          <w:sz w:val="22"/>
          <w:szCs w:val="22"/>
        </w:rPr>
      </w:pPr>
    </w:p>
    <w:p w14:paraId="6BB6D32A" w14:textId="77777777" w:rsidR="00DD0E3B" w:rsidRPr="00FD7039" w:rsidRDefault="00DD0E3B" w:rsidP="006A14AA">
      <w:pPr>
        <w:jc w:val="both"/>
        <w:rPr>
          <w:rFonts w:ascii="Arial" w:hAnsi="Arial" w:cs="Arial"/>
          <w:sz w:val="22"/>
          <w:szCs w:val="22"/>
        </w:rPr>
      </w:pPr>
    </w:p>
    <w:sectPr w:rsidR="00DD0E3B" w:rsidRPr="00FD7039" w:rsidSect="00DE7978">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AFFE2" w14:textId="77777777" w:rsidR="0058140D" w:rsidRDefault="0058140D">
      <w:r>
        <w:separator/>
      </w:r>
    </w:p>
  </w:endnote>
  <w:endnote w:type="continuationSeparator" w:id="0">
    <w:p w14:paraId="7620527A" w14:textId="77777777" w:rsidR="0058140D" w:rsidRDefault="0058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SemiBold">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exend Deca Light">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EBA83" w14:textId="77777777" w:rsidR="0058140D" w:rsidRDefault="0058140D">
      <w:r>
        <w:separator/>
      </w:r>
    </w:p>
  </w:footnote>
  <w:footnote w:type="continuationSeparator" w:id="0">
    <w:p w14:paraId="4331D92F" w14:textId="77777777" w:rsidR="0058140D" w:rsidRDefault="00581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36222"/>
    <w:multiLevelType w:val="hybridMultilevel"/>
    <w:tmpl w:val="0936B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25C80"/>
    <w:multiLevelType w:val="hybridMultilevel"/>
    <w:tmpl w:val="D55E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246C7"/>
    <w:multiLevelType w:val="hybridMultilevel"/>
    <w:tmpl w:val="D9E263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B14ABA"/>
    <w:multiLevelType w:val="hybridMultilevel"/>
    <w:tmpl w:val="1C7C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74961"/>
    <w:multiLevelType w:val="hybridMultilevel"/>
    <w:tmpl w:val="A1D6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03999"/>
    <w:multiLevelType w:val="hybridMultilevel"/>
    <w:tmpl w:val="DA84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37F2B"/>
    <w:multiLevelType w:val="hybridMultilevel"/>
    <w:tmpl w:val="CF8E103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19D66975"/>
    <w:multiLevelType w:val="hybridMultilevel"/>
    <w:tmpl w:val="E18E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60B00"/>
    <w:multiLevelType w:val="hybridMultilevel"/>
    <w:tmpl w:val="43C0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E6D8C"/>
    <w:multiLevelType w:val="hybridMultilevel"/>
    <w:tmpl w:val="C7BA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718F1"/>
    <w:multiLevelType w:val="hybridMultilevel"/>
    <w:tmpl w:val="04A4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27FFA"/>
    <w:multiLevelType w:val="hybridMultilevel"/>
    <w:tmpl w:val="A754D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B7771E"/>
    <w:multiLevelType w:val="hybridMultilevel"/>
    <w:tmpl w:val="2688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B356D"/>
    <w:multiLevelType w:val="hybridMultilevel"/>
    <w:tmpl w:val="9DEC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836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8E85A3F"/>
    <w:multiLevelType w:val="hybridMultilevel"/>
    <w:tmpl w:val="F20C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F4E74"/>
    <w:multiLevelType w:val="hybridMultilevel"/>
    <w:tmpl w:val="456461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B85A38"/>
    <w:multiLevelType w:val="hybridMultilevel"/>
    <w:tmpl w:val="B994D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0540E4"/>
    <w:multiLevelType w:val="hybridMultilevel"/>
    <w:tmpl w:val="5B30A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442BBF"/>
    <w:multiLevelType w:val="hybridMultilevel"/>
    <w:tmpl w:val="FBCA1A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477BCF"/>
    <w:multiLevelType w:val="hybridMultilevel"/>
    <w:tmpl w:val="1198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6F56A7"/>
    <w:multiLevelType w:val="hybridMultilevel"/>
    <w:tmpl w:val="1926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8816CF"/>
    <w:multiLevelType w:val="hybridMultilevel"/>
    <w:tmpl w:val="5B7CFFF2"/>
    <w:lvl w:ilvl="0" w:tplc="E728661E">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A775AC"/>
    <w:multiLevelType w:val="hybridMultilevel"/>
    <w:tmpl w:val="1B8A00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C67DEE"/>
    <w:multiLevelType w:val="hybridMultilevel"/>
    <w:tmpl w:val="C67AC2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EA2868"/>
    <w:multiLevelType w:val="hybridMultilevel"/>
    <w:tmpl w:val="84146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45C90"/>
    <w:multiLevelType w:val="hybridMultilevel"/>
    <w:tmpl w:val="90047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6F652C"/>
    <w:multiLevelType w:val="multilevel"/>
    <w:tmpl w:val="0F48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954E80"/>
    <w:multiLevelType w:val="hybridMultilevel"/>
    <w:tmpl w:val="9D124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2629E2"/>
    <w:multiLevelType w:val="hybridMultilevel"/>
    <w:tmpl w:val="1C52D51E"/>
    <w:lvl w:ilvl="0" w:tplc="0809000F">
      <w:start w:val="1"/>
      <w:numFmt w:val="decimal"/>
      <w:lvlText w:val="%1."/>
      <w:lvlJc w:val="left"/>
      <w:pPr>
        <w:tabs>
          <w:tab w:val="num" w:pos="397"/>
        </w:tabs>
        <w:ind w:left="397" w:hanging="39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8335B9"/>
    <w:multiLevelType w:val="hybridMultilevel"/>
    <w:tmpl w:val="6278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0691F"/>
    <w:multiLevelType w:val="hybridMultilevel"/>
    <w:tmpl w:val="26028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886451"/>
    <w:multiLevelType w:val="hybridMultilevel"/>
    <w:tmpl w:val="5D1A0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8846B2"/>
    <w:multiLevelType w:val="hybridMultilevel"/>
    <w:tmpl w:val="BEC2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A06328"/>
    <w:multiLevelType w:val="hybridMultilevel"/>
    <w:tmpl w:val="7E04C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71856"/>
    <w:multiLevelType w:val="hybridMultilevel"/>
    <w:tmpl w:val="C518DC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39001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358122649">
    <w:abstractNumId w:val="23"/>
  </w:num>
  <w:num w:numId="3" w16cid:durableId="865826627">
    <w:abstractNumId w:val="11"/>
  </w:num>
  <w:num w:numId="4" w16cid:durableId="221478560">
    <w:abstractNumId w:val="31"/>
  </w:num>
  <w:num w:numId="5" w16cid:durableId="1929346580">
    <w:abstractNumId w:val="17"/>
  </w:num>
  <w:num w:numId="6" w16cid:durableId="1507555599">
    <w:abstractNumId w:val="3"/>
  </w:num>
  <w:num w:numId="7" w16cid:durableId="601110250">
    <w:abstractNumId w:val="25"/>
  </w:num>
  <w:num w:numId="8" w16cid:durableId="678852560">
    <w:abstractNumId w:val="19"/>
  </w:num>
  <w:num w:numId="9" w16cid:durableId="1492716124">
    <w:abstractNumId w:val="1"/>
  </w:num>
  <w:num w:numId="10" w16cid:durableId="1319115854">
    <w:abstractNumId w:val="29"/>
  </w:num>
  <w:num w:numId="11" w16cid:durableId="113524667">
    <w:abstractNumId w:val="30"/>
  </w:num>
  <w:num w:numId="12" w16cid:durableId="859859178">
    <w:abstractNumId w:val="7"/>
  </w:num>
  <w:num w:numId="13" w16cid:durableId="873687596">
    <w:abstractNumId w:val="27"/>
  </w:num>
  <w:num w:numId="14" w16cid:durableId="890462981">
    <w:abstractNumId w:val="34"/>
  </w:num>
  <w:num w:numId="15" w16cid:durableId="1962758165">
    <w:abstractNumId w:val="6"/>
  </w:num>
  <w:num w:numId="16" w16cid:durableId="2140221215">
    <w:abstractNumId w:val="15"/>
  </w:num>
  <w:num w:numId="17" w16cid:durableId="1007026337">
    <w:abstractNumId w:val="24"/>
  </w:num>
  <w:num w:numId="18" w16cid:durableId="997617353">
    <w:abstractNumId w:val="26"/>
  </w:num>
  <w:num w:numId="19" w16cid:durableId="679042635">
    <w:abstractNumId w:val="8"/>
  </w:num>
  <w:num w:numId="20" w16cid:durableId="1364870000">
    <w:abstractNumId w:val="32"/>
  </w:num>
  <w:num w:numId="21" w16cid:durableId="1465149297">
    <w:abstractNumId w:val="12"/>
  </w:num>
  <w:num w:numId="22" w16cid:durableId="1991591267">
    <w:abstractNumId w:val="36"/>
  </w:num>
  <w:num w:numId="23" w16cid:durableId="1538197710">
    <w:abstractNumId w:val="35"/>
  </w:num>
  <w:num w:numId="24" w16cid:durableId="1169295248">
    <w:abstractNumId w:val="2"/>
  </w:num>
  <w:num w:numId="25" w16cid:durableId="1382248077">
    <w:abstractNumId w:val="5"/>
  </w:num>
  <w:num w:numId="26" w16cid:durableId="702555517">
    <w:abstractNumId w:val="4"/>
  </w:num>
  <w:num w:numId="27" w16cid:durableId="1584677007">
    <w:abstractNumId w:val="22"/>
  </w:num>
  <w:num w:numId="28" w16cid:durableId="811673306">
    <w:abstractNumId w:val="13"/>
  </w:num>
  <w:num w:numId="29" w16cid:durableId="1456295302">
    <w:abstractNumId w:val="33"/>
  </w:num>
  <w:num w:numId="30" w16cid:durableId="1489832911">
    <w:abstractNumId w:val="18"/>
  </w:num>
  <w:num w:numId="31" w16cid:durableId="1457069407">
    <w:abstractNumId w:val="20"/>
  </w:num>
  <w:num w:numId="32" w16cid:durableId="1828282760">
    <w:abstractNumId w:val="9"/>
  </w:num>
  <w:num w:numId="33" w16cid:durableId="72628215">
    <w:abstractNumId w:val="14"/>
  </w:num>
  <w:num w:numId="34" w16cid:durableId="833036064">
    <w:abstractNumId w:val="10"/>
  </w:num>
  <w:num w:numId="35" w16cid:durableId="164250281">
    <w:abstractNumId w:val="16"/>
  </w:num>
  <w:num w:numId="36" w16cid:durableId="1518619339">
    <w:abstractNumId w:val="38"/>
  </w:num>
  <w:num w:numId="37" w16cid:durableId="1875535957">
    <w:abstractNumId w:val="21"/>
  </w:num>
  <w:num w:numId="38" w16cid:durableId="1103233870">
    <w:abstractNumId w:val="37"/>
  </w:num>
  <w:num w:numId="39" w16cid:durableId="17343507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05"/>
    <w:rsid w:val="000038AA"/>
    <w:rsid w:val="000209DE"/>
    <w:rsid w:val="00021534"/>
    <w:rsid w:val="00023E82"/>
    <w:rsid w:val="000547E2"/>
    <w:rsid w:val="00086339"/>
    <w:rsid w:val="00092770"/>
    <w:rsid w:val="000A673D"/>
    <w:rsid w:val="000C25C5"/>
    <w:rsid w:val="000E4773"/>
    <w:rsid w:val="000F201C"/>
    <w:rsid w:val="000F6A1A"/>
    <w:rsid w:val="0010153A"/>
    <w:rsid w:val="00101A2C"/>
    <w:rsid w:val="00125C49"/>
    <w:rsid w:val="001302B8"/>
    <w:rsid w:val="001319AA"/>
    <w:rsid w:val="00134C65"/>
    <w:rsid w:val="001434F9"/>
    <w:rsid w:val="00152C25"/>
    <w:rsid w:val="00175BEF"/>
    <w:rsid w:val="001832CF"/>
    <w:rsid w:val="0018613F"/>
    <w:rsid w:val="001871BD"/>
    <w:rsid w:val="001A5A26"/>
    <w:rsid w:val="001A7996"/>
    <w:rsid w:val="001C00DC"/>
    <w:rsid w:val="001C4AA8"/>
    <w:rsid w:val="002102B2"/>
    <w:rsid w:val="00215EA5"/>
    <w:rsid w:val="00230DA6"/>
    <w:rsid w:val="0024158F"/>
    <w:rsid w:val="00244545"/>
    <w:rsid w:val="00246486"/>
    <w:rsid w:val="00266CCE"/>
    <w:rsid w:val="00275ED7"/>
    <w:rsid w:val="00295190"/>
    <w:rsid w:val="00296A50"/>
    <w:rsid w:val="002E0FC3"/>
    <w:rsid w:val="002F169D"/>
    <w:rsid w:val="0031613C"/>
    <w:rsid w:val="00324B8F"/>
    <w:rsid w:val="003729E3"/>
    <w:rsid w:val="00377916"/>
    <w:rsid w:val="003B417C"/>
    <w:rsid w:val="003D006F"/>
    <w:rsid w:val="003D2582"/>
    <w:rsid w:val="003F3726"/>
    <w:rsid w:val="0040430A"/>
    <w:rsid w:val="0042207A"/>
    <w:rsid w:val="00457D21"/>
    <w:rsid w:val="0048070B"/>
    <w:rsid w:val="004A7441"/>
    <w:rsid w:val="004C0E33"/>
    <w:rsid w:val="004E58C2"/>
    <w:rsid w:val="004F3BFB"/>
    <w:rsid w:val="00502B7B"/>
    <w:rsid w:val="0051021B"/>
    <w:rsid w:val="005121A1"/>
    <w:rsid w:val="0053621F"/>
    <w:rsid w:val="00547D1E"/>
    <w:rsid w:val="0058140D"/>
    <w:rsid w:val="005843D6"/>
    <w:rsid w:val="005A14AD"/>
    <w:rsid w:val="005C0D5B"/>
    <w:rsid w:val="005E182D"/>
    <w:rsid w:val="005E3A04"/>
    <w:rsid w:val="005E44CE"/>
    <w:rsid w:val="005E4863"/>
    <w:rsid w:val="005E78DF"/>
    <w:rsid w:val="005F1141"/>
    <w:rsid w:val="005F5A45"/>
    <w:rsid w:val="0060507F"/>
    <w:rsid w:val="00606438"/>
    <w:rsid w:val="00612BB8"/>
    <w:rsid w:val="00623B17"/>
    <w:rsid w:val="00653292"/>
    <w:rsid w:val="00683505"/>
    <w:rsid w:val="00693F56"/>
    <w:rsid w:val="006A14AA"/>
    <w:rsid w:val="006A2EC2"/>
    <w:rsid w:val="006A38BA"/>
    <w:rsid w:val="006B5CF2"/>
    <w:rsid w:val="006D7F34"/>
    <w:rsid w:val="00703FE5"/>
    <w:rsid w:val="00714765"/>
    <w:rsid w:val="007508C7"/>
    <w:rsid w:val="0075771D"/>
    <w:rsid w:val="00777A49"/>
    <w:rsid w:val="007C7C4C"/>
    <w:rsid w:val="0081784B"/>
    <w:rsid w:val="0084291B"/>
    <w:rsid w:val="008505AC"/>
    <w:rsid w:val="008702A6"/>
    <w:rsid w:val="008810BE"/>
    <w:rsid w:val="008B70AB"/>
    <w:rsid w:val="008E7B79"/>
    <w:rsid w:val="00901B4D"/>
    <w:rsid w:val="00937977"/>
    <w:rsid w:val="0094360B"/>
    <w:rsid w:val="0094366D"/>
    <w:rsid w:val="00986856"/>
    <w:rsid w:val="009910D8"/>
    <w:rsid w:val="009A1137"/>
    <w:rsid w:val="009B2B15"/>
    <w:rsid w:val="009F1044"/>
    <w:rsid w:val="009F1E20"/>
    <w:rsid w:val="00A3770C"/>
    <w:rsid w:val="00A4117C"/>
    <w:rsid w:val="00A62014"/>
    <w:rsid w:val="00A71F1A"/>
    <w:rsid w:val="00A952BD"/>
    <w:rsid w:val="00AA2C49"/>
    <w:rsid w:val="00B06E92"/>
    <w:rsid w:val="00B204D9"/>
    <w:rsid w:val="00B226D4"/>
    <w:rsid w:val="00B469D3"/>
    <w:rsid w:val="00B61121"/>
    <w:rsid w:val="00B7748C"/>
    <w:rsid w:val="00B94EE2"/>
    <w:rsid w:val="00B97708"/>
    <w:rsid w:val="00BB2406"/>
    <w:rsid w:val="00BD1DC7"/>
    <w:rsid w:val="00BF16A2"/>
    <w:rsid w:val="00C04DFB"/>
    <w:rsid w:val="00C46425"/>
    <w:rsid w:val="00C5059A"/>
    <w:rsid w:val="00C53EE4"/>
    <w:rsid w:val="00C72BC5"/>
    <w:rsid w:val="00C740B5"/>
    <w:rsid w:val="00C87AFD"/>
    <w:rsid w:val="00CE4771"/>
    <w:rsid w:val="00CF7C8E"/>
    <w:rsid w:val="00D01FBB"/>
    <w:rsid w:val="00D150A4"/>
    <w:rsid w:val="00D53FE9"/>
    <w:rsid w:val="00D86E50"/>
    <w:rsid w:val="00DA45A5"/>
    <w:rsid w:val="00DC3685"/>
    <w:rsid w:val="00DC4861"/>
    <w:rsid w:val="00DD0E3B"/>
    <w:rsid w:val="00DE2EFA"/>
    <w:rsid w:val="00DE7978"/>
    <w:rsid w:val="00DF66A6"/>
    <w:rsid w:val="00E31D3B"/>
    <w:rsid w:val="00E33EC1"/>
    <w:rsid w:val="00E61306"/>
    <w:rsid w:val="00E717E7"/>
    <w:rsid w:val="00E72D6F"/>
    <w:rsid w:val="00E91297"/>
    <w:rsid w:val="00E939D1"/>
    <w:rsid w:val="00EA0B6E"/>
    <w:rsid w:val="00EA2BA6"/>
    <w:rsid w:val="00EC0C3D"/>
    <w:rsid w:val="00EC4A31"/>
    <w:rsid w:val="00ED3E3D"/>
    <w:rsid w:val="00EE103B"/>
    <w:rsid w:val="00EF05D5"/>
    <w:rsid w:val="00F24C98"/>
    <w:rsid w:val="00F32DFD"/>
    <w:rsid w:val="00F6435F"/>
    <w:rsid w:val="00F657A7"/>
    <w:rsid w:val="00F76703"/>
    <w:rsid w:val="00F918CB"/>
    <w:rsid w:val="00F93235"/>
    <w:rsid w:val="00F975C9"/>
    <w:rsid w:val="00FA6115"/>
    <w:rsid w:val="00FC5F26"/>
    <w:rsid w:val="00FD7039"/>
    <w:rsid w:val="00FE4430"/>
    <w:rsid w:val="00FF7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25758"/>
  <w15:docId w15:val="{13ED29B2-A8F5-4484-9AE8-86944534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3">
    <w:name w:val="heading 3"/>
    <w:basedOn w:val="Normal"/>
    <w:next w:val="Normal"/>
    <w:link w:val="Heading3Char"/>
    <w:uiPriority w:val="9"/>
    <w:unhideWhenUsed/>
    <w:qFormat/>
    <w:rsid w:val="001A5A26"/>
    <w:pPr>
      <w:keepNext/>
      <w:keepLines/>
      <w:spacing w:before="80" w:after="40" w:line="192" w:lineRule="auto"/>
      <w:outlineLvl w:val="2"/>
    </w:pPr>
    <w:rPr>
      <w:rFonts w:ascii="Lexend Deca SemiBold" w:eastAsiaTheme="majorEastAsia" w:hAnsi="Lexend Deca SemiBold" w:cstheme="majorBidi"/>
      <w:color w:val="00407B"/>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683505"/>
    <w:pPr>
      <w:ind w:left="720"/>
    </w:pPr>
  </w:style>
  <w:style w:type="paragraph" w:customStyle="1" w:styleId="Default">
    <w:name w:val="Default"/>
    <w:rsid w:val="0060507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612BB8"/>
    <w:rPr>
      <w:rFonts w:ascii="Tahoma" w:hAnsi="Tahoma"/>
      <w:sz w:val="16"/>
      <w:szCs w:val="16"/>
      <w:lang w:val="x-none"/>
    </w:rPr>
  </w:style>
  <w:style w:type="character" w:customStyle="1" w:styleId="BalloonTextChar">
    <w:name w:val="Balloon Text Char"/>
    <w:link w:val="BalloonText"/>
    <w:uiPriority w:val="99"/>
    <w:semiHidden/>
    <w:rsid w:val="00612BB8"/>
    <w:rPr>
      <w:rFonts w:ascii="Tahoma" w:hAnsi="Tahoma" w:cs="Tahoma"/>
      <w:sz w:val="16"/>
      <w:szCs w:val="16"/>
      <w:lang w:eastAsia="en-US"/>
    </w:rPr>
  </w:style>
  <w:style w:type="character" w:styleId="CommentReference">
    <w:name w:val="annotation reference"/>
    <w:uiPriority w:val="99"/>
    <w:semiHidden/>
    <w:unhideWhenUsed/>
    <w:rsid w:val="000F201C"/>
    <w:rPr>
      <w:sz w:val="16"/>
      <w:szCs w:val="16"/>
    </w:rPr>
  </w:style>
  <w:style w:type="paragraph" w:styleId="CommentText">
    <w:name w:val="annotation text"/>
    <w:basedOn w:val="Normal"/>
    <w:link w:val="CommentTextChar"/>
    <w:uiPriority w:val="99"/>
    <w:semiHidden/>
    <w:unhideWhenUsed/>
    <w:rsid w:val="000F201C"/>
    <w:rPr>
      <w:sz w:val="20"/>
    </w:rPr>
  </w:style>
  <w:style w:type="character" w:customStyle="1" w:styleId="CommentTextChar">
    <w:name w:val="Comment Text Char"/>
    <w:link w:val="CommentText"/>
    <w:uiPriority w:val="99"/>
    <w:semiHidden/>
    <w:rsid w:val="000F201C"/>
    <w:rPr>
      <w:lang w:eastAsia="en-US"/>
    </w:rPr>
  </w:style>
  <w:style w:type="paragraph" w:styleId="CommentSubject">
    <w:name w:val="annotation subject"/>
    <w:basedOn w:val="CommentText"/>
    <w:next w:val="CommentText"/>
    <w:link w:val="CommentSubjectChar"/>
    <w:uiPriority w:val="99"/>
    <w:semiHidden/>
    <w:unhideWhenUsed/>
    <w:rsid w:val="000F201C"/>
    <w:rPr>
      <w:b/>
      <w:bCs/>
    </w:rPr>
  </w:style>
  <w:style w:type="character" w:customStyle="1" w:styleId="CommentSubjectChar">
    <w:name w:val="Comment Subject Char"/>
    <w:link w:val="CommentSubject"/>
    <w:uiPriority w:val="99"/>
    <w:semiHidden/>
    <w:rsid w:val="000F201C"/>
    <w:rPr>
      <w:b/>
      <w:bCs/>
      <w:lang w:eastAsia="en-US"/>
    </w:rPr>
  </w:style>
  <w:style w:type="paragraph" w:customStyle="1" w:styleId="Heading">
    <w:name w:val="Heading"/>
    <w:basedOn w:val="BodyText"/>
    <w:link w:val="HeadingChar"/>
    <w:autoRedefine/>
    <w:qFormat/>
    <w:rsid w:val="00FD7039"/>
    <w:rPr>
      <w:rFonts w:ascii="Arial" w:eastAsia="MS Mincho" w:hAnsi="Arial"/>
      <w:b/>
      <w:szCs w:val="24"/>
      <w:lang w:val="en-US"/>
    </w:rPr>
  </w:style>
  <w:style w:type="character" w:customStyle="1" w:styleId="HeadingChar">
    <w:name w:val="Heading Char"/>
    <w:link w:val="Heading"/>
    <w:rsid w:val="00FD7039"/>
    <w:rPr>
      <w:rFonts w:ascii="Arial" w:eastAsia="MS Mincho" w:hAnsi="Arial"/>
      <w:b/>
      <w:sz w:val="24"/>
      <w:szCs w:val="24"/>
      <w:lang w:val="en-US" w:eastAsia="en-US"/>
    </w:rPr>
  </w:style>
  <w:style w:type="paragraph" w:styleId="BodyText">
    <w:name w:val="Body Text"/>
    <w:basedOn w:val="Normal"/>
    <w:link w:val="BodyTextChar"/>
    <w:uiPriority w:val="99"/>
    <w:semiHidden/>
    <w:unhideWhenUsed/>
    <w:rsid w:val="00FD7039"/>
    <w:pPr>
      <w:spacing w:after="120"/>
    </w:pPr>
  </w:style>
  <w:style w:type="character" w:customStyle="1" w:styleId="BodyTextChar">
    <w:name w:val="Body Text Char"/>
    <w:basedOn w:val="DefaultParagraphFont"/>
    <w:link w:val="BodyText"/>
    <w:uiPriority w:val="99"/>
    <w:semiHidden/>
    <w:rsid w:val="00FD7039"/>
    <w:rPr>
      <w:sz w:val="24"/>
      <w:lang w:eastAsia="en-US"/>
    </w:rPr>
  </w:style>
  <w:style w:type="paragraph" w:customStyle="1" w:styleId="Bodytext1">
    <w:name w:val="Body text 1"/>
    <w:basedOn w:val="Normal"/>
    <w:qFormat/>
    <w:rsid w:val="001A5A26"/>
    <w:pPr>
      <w:spacing w:before="120" w:after="120" w:line="259" w:lineRule="auto"/>
    </w:pPr>
    <w:rPr>
      <w:rFonts w:ascii="Lexend Deca Light" w:eastAsiaTheme="minorHAnsi" w:hAnsi="Lexend Deca Light" w:cstheme="minorBidi"/>
      <w:color w:val="000000" w:themeColor="text1"/>
      <w:sz w:val="22"/>
      <w:szCs w:val="22"/>
      <w:lang w:val="en-US"/>
    </w:rPr>
  </w:style>
  <w:style w:type="character" w:customStyle="1" w:styleId="Heading3Char">
    <w:name w:val="Heading 3 Char"/>
    <w:basedOn w:val="DefaultParagraphFont"/>
    <w:link w:val="Heading3"/>
    <w:uiPriority w:val="9"/>
    <w:rsid w:val="001A5A26"/>
    <w:rPr>
      <w:rFonts w:ascii="Lexend Deca SemiBold" w:eastAsiaTheme="majorEastAsia" w:hAnsi="Lexend Deca SemiBold" w:cstheme="majorBidi"/>
      <w:color w:val="00407B"/>
      <w:sz w:val="32"/>
      <w:szCs w:val="22"/>
      <w:lang w:eastAsia="en-US"/>
    </w:rPr>
  </w:style>
  <w:style w:type="paragraph" w:customStyle="1" w:styleId="Bodytextbullets">
    <w:name w:val="Body text bullets"/>
    <w:basedOn w:val="ListParagraph"/>
    <w:qFormat/>
    <w:rsid w:val="001A5A26"/>
    <w:pPr>
      <w:numPr>
        <w:numId w:val="38"/>
      </w:numPr>
      <w:spacing w:before="80" w:after="80" w:line="259" w:lineRule="auto"/>
    </w:pPr>
    <w:rPr>
      <w:rFonts w:ascii="Lexend Deca Light" w:eastAsiaTheme="minorEastAsia" w:hAnsi="Lexend Deca Light" w:cstheme="minorBidi"/>
      <w:sz w:val="22"/>
      <w:szCs w:val="22"/>
      <w:lang w:val="en-US"/>
    </w:rPr>
  </w:style>
  <w:style w:type="paragraph" w:customStyle="1" w:styleId="xmsonormal">
    <w:name w:val="x_msonormal"/>
    <w:basedOn w:val="Normal"/>
    <w:rsid w:val="00693F56"/>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05647">
      <w:bodyDiv w:val="1"/>
      <w:marLeft w:val="0"/>
      <w:marRight w:val="0"/>
      <w:marTop w:val="0"/>
      <w:marBottom w:val="0"/>
      <w:divBdr>
        <w:top w:val="none" w:sz="0" w:space="0" w:color="auto"/>
        <w:left w:val="none" w:sz="0" w:space="0" w:color="auto"/>
        <w:bottom w:val="none" w:sz="0" w:space="0" w:color="auto"/>
        <w:right w:val="none" w:sz="0" w:space="0" w:color="auto"/>
      </w:divBdr>
    </w:div>
    <w:div w:id="1306356626">
      <w:bodyDiv w:val="1"/>
      <w:marLeft w:val="0"/>
      <w:marRight w:val="0"/>
      <w:marTop w:val="0"/>
      <w:marBottom w:val="0"/>
      <w:divBdr>
        <w:top w:val="none" w:sz="0" w:space="0" w:color="auto"/>
        <w:left w:val="none" w:sz="0" w:space="0" w:color="auto"/>
        <w:bottom w:val="none" w:sz="0" w:space="0" w:color="auto"/>
        <w:right w:val="none" w:sz="0" w:space="0" w:color="auto"/>
      </w:divBdr>
    </w:div>
    <w:div w:id="209558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1" ma:contentTypeDescription="Create a new document." ma:contentTypeScope="" ma:versionID="a56e045106e9aa26e410a0215ceaa638">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c7c2994e9ab0607b09907bc6d40d2d2e"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6AD879-25B9-46AF-B8DE-5476FE7D1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C547A-C958-462D-AC25-7BEF3A6707EA}">
  <ds:schemaRefs>
    <ds:schemaRef ds:uri="http://schemas.microsoft.com/sharepoint/v3/contenttype/forms"/>
  </ds:schemaRefs>
</ds:datastoreItem>
</file>

<file path=customXml/itemProps3.xml><?xml version="1.0" encoding="utf-8"?>
<ds:datastoreItem xmlns:ds="http://schemas.openxmlformats.org/officeDocument/2006/customXml" ds:itemID="{0544CF0E-3CEF-4959-84A8-D2494214BA70}">
  <ds:schemaRefs>
    <ds:schemaRef ds:uri="http://www.w3.org/XML/1998/namespac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d136e5f1-b98d-437f-8ff4-fb6c729ebb47"/>
    <ds:schemaRef ds:uri="0c1125f9-7c64-4f44-832e-42c176d3227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925</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4</cp:revision>
  <cp:lastPrinted>2012-02-02T10:59:00Z</cp:lastPrinted>
  <dcterms:created xsi:type="dcterms:W3CDTF">2025-07-11T14:30:00Z</dcterms:created>
  <dcterms:modified xsi:type="dcterms:W3CDTF">2025-07-17T13:14:00Z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0x0101001CF2DD8BA616754B84E5286F437F221A</vt:lpwstr>
  </property>
</Properties>
</file>