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simplePos x="0" y="0"/>
            <wp:positionH relativeFrom="margin">
              <wp:posOffset>5562600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pPr>
        <w:keepLines/>
        <w:ind w:left="-170" w:right="1134" w:firstLine="720"/>
        <w:jc w:val="center"/>
        <w:rPr>
          <w:rFonts w:ascii="Arial" w:eastAsia="Calibri" w:hAnsi="Arial" w:cs="Arial"/>
          <w:b/>
          <w:sz w:val="32"/>
          <w:szCs w:val="32"/>
        </w:rPr>
      </w:pPr>
    </w:p>
    <w:p>
      <w:pPr>
        <w:keepLines/>
        <w:ind w:right="1134"/>
        <w:jc w:val="center"/>
        <w:rPr>
          <w:rFonts w:ascii="Arial" w:hAnsi="Arial"/>
          <w:b/>
          <w:snapToGrid w:val="0"/>
          <w:color w:val="000000"/>
          <w:sz w:val="28"/>
          <w:szCs w:val="28"/>
        </w:rPr>
      </w:pPr>
    </w:p>
    <w:p>
      <w:pPr>
        <w:keepLines/>
        <w:ind w:right="1134"/>
        <w:rPr>
          <w:rFonts w:ascii="Arial" w:hAnsi="Arial"/>
          <w:b/>
          <w:snapToGrid w:val="0"/>
          <w:color w:val="000000"/>
          <w:szCs w:val="24"/>
        </w:rPr>
      </w:pPr>
      <w:r>
        <w:rPr>
          <w:rFonts w:ascii="Arial" w:hAnsi="Arial"/>
          <w:b/>
          <w:snapToGrid w:val="0"/>
          <w:color w:val="000000"/>
          <w:szCs w:val="24"/>
        </w:rPr>
        <w:t>Interested in Education?</w:t>
      </w:r>
    </w:p>
    <w:p>
      <w:pPr>
        <w:keepLines/>
        <w:ind w:right="1134"/>
        <w:rPr>
          <w:rFonts w:ascii="Arial" w:hAnsi="Arial"/>
          <w:b/>
          <w:snapToGrid w:val="0"/>
          <w:color w:val="000000"/>
          <w:szCs w:val="24"/>
        </w:rPr>
      </w:pPr>
    </w:p>
    <w:p>
      <w:pPr>
        <w:keepLines/>
        <w:ind w:right="1134"/>
        <w:rPr>
          <w:rFonts w:ascii="Arial" w:hAnsi="Arial"/>
          <w:snapToGrid w:val="0"/>
          <w:color w:val="000000"/>
          <w:szCs w:val="24"/>
        </w:rPr>
      </w:pPr>
      <w:r>
        <w:rPr>
          <w:rFonts w:ascii="Arial" w:hAnsi="Arial"/>
          <w:snapToGrid w:val="0"/>
          <w:color w:val="000000"/>
          <w:szCs w:val="24"/>
        </w:rPr>
        <w:t>The Nobel School is offering a two year teacher development programme which provides excellent teacher training for people who are passionate about making a difference.</w:t>
      </w:r>
    </w:p>
    <w:p>
      <w:pPr>
        <w:pStyle w:val="BodyText"/>
        <w:spacing w:before="100" w:beforeAutospacing="1"/>
      </w:pPr>
      <w:r>
        <w:t>In the first year, your role will be split between the SEND department and one of</w:t>
      </w:r>
      <w:r>
        <w:rPr>
          <w:spacing w:val="1"/>
        </w:rPr>
        <w:t xml:space="preserve"> </w:t>
      </w:r>
      <w:r>
        <w:t>our academic departments. You will be trained to deliver high quality coaching to</w:t>
      </w:r>
      <w:r>
        <w:rPr>
          <w:spacing w:val="-47"/>
        </w:rPr>
        <w:t xml:space="preserve"> </w:t>
      </w:r>
      <w:r>
        <w:t>students</w:t>
      </w:r>
      <w:r>
        <w:rPr>
          <w:spacing w:val="-3"/>
        </w:rPr>
        <w:t xml:space="preserve"> </w:t>
      </w:r>
      <w:r>
        <w:t>who</w:t>
      </w:r>
      <w:r>
        <w:rPr>
          <w:spacing w:val="1"/>
        </w:rPr>
        <w:t xml:space="preserve"> </w:t>
      </w:r>
      <w:r>
        <w:t>require support</w:t>
      </w:r>
      <w:r>
        <w:rPr>
          <w:spacing w:val="-2"/>
        </w:rPr>
        <w:t xml:space="preserve"> </w:t>
      </w:r>
      <w:r>
        <w:t>to</w:t>
      </w:r>
      <w:r>
        <w:rPr>
          <w:spacing w:val="-2"/>
        </w:rPr>
        <w:t xml:space="preserve"> </w:t>
      </w:r>
      <w:r>
        <w:t>achieve</w:t>
      </w:r>
      <w:r>
        <w:rPr>
          <w:spacing w:val="-2"/>
        </w:rPr>
        <w:t xml:space="preserve"> </w:t>
      </w:r>
      <w:r>
        <w:t>outcomes</w:t>
      </w:r>
      <w:r>
        <w:rPr>
          <w:spacing w:val="-2"/>
        </w:rPr>
        <w:t xml:space="preserve"> </w:t>
      </w:r>
      <w:r>
        <w:t>in</w:t>
      </w:r>
      <w:r>
        <w:rPr>
          <w:spacing w:val="-3"/>
        </w:rPr>
        <w:t xml:space="preserve"> </w:t>
      </w:r>
      <w:r>
        <w:t>line with</w:t>
      </w:r>
      <w:r>
        <w:rPr>
          <w:spacing w:val="-2"/>
        </w:rPr>
        <w:t xml:space="preserve"> </w:t>
      </w:r>
      <w:r>
        <w:t>their peers.</w:t>
      </w:r>
    </w:p>
    <w:p>
      <w:pPr>
        <w:pStyle w:val="BodyText"/>
        <w:spacing w:before="8"/>
        <w:rPr>
          <w:sz w:val="11"/>
        </w:rPr>
      </w:pPr>
    </w:p>
    <w:p>
      <w:pPr>
        <w:pStyle w:val="BodyText"/>
        <w:spacing w:before="100" w:beforeAutospacing="1" w:line="276" w:lineRule="auto"/>
        <w:ind w:left="100" w:right="802"/>
        <w:rPr>
          <w:sz w:val="16"/>
        </w:rPr>
      </w:pPr>
      <w:r>
        <w:t>We are seeking to appoint a graduate</w:t>
      </w:r>
      <w:bookmarkStart w:id="0" w:name="_GoBack"/>
      <w:bookmarkEnd w:id="0"/>
      <w:r>
        <w:t xml:space="preserve"> with a love of their subject, an ability to work in a collaborative</w:t>
      </w:r>
      <w:r>
        <w:rPr>
          <w:spacing w:val="-47"/>
        </w:rPr>
        <w:t xml:space="preserve"> </w:t>
      </w:r>
      <w:r>
        <w:t>style to maximise the best outcomes for our students and above all, we are looking for colleagues</w:t>
      </w:r>
      <w:r>
        <w:rPr>
          <w:spacing w:val="1"/>
        </w:rPr>
        <w:t xml:space="preserve"> </w:t>
      </w:r>
      <w:r>
        <w:t>who can inspire a new generation of Nobelians to develop a love of learning and a thirst for</w:t>
      </w:r>
      <w:r>
        <w:rPr>
          <w:spacing w:val="1"/>
        </w:rPr>
        <w:t xml:space="preserve"> </w:t>
      </w:r>
      <w:r>
        <w:t>knowledge.</w:t>
      </w:r>
    </w:p>
    <w:p>
      <w:pPr>
        <w:pStyle w:val="BodyText"/>
        <w:spacing w:before="100" w:beforeAutospacing="1" w:line="276" w:lineRule="auto"/>
        <w:ind w:left="100" w:right="759"/>
        <w:jc w:val="both"/>
      </w:pPr>
      <w:r>
        <w:t>The</w:t>
      </w:r>
      <w:r>
        <w:rPr>
          <w:spacing w:val="1"/>
        </w:rPr>
        <w:t xml:space="preserve"> </w:t>
      </w:r>
      <w:r>
        <w:t>Nobel</w:t>
      </w:r>
      <w:r>
        <w:rPr>
          <w:spacing w:val="1"/>
        </w:rPr>
        <w:t xml:space="preserve"> </w:t>
      </w:r>
      <w:r>
        <w:t>School</w:t>
      </w:r>
      <w:r>
        <w:rPr>
          <w:spacing w:val="1"/>
        </w:rPr>
        <w:t xml:space="preserve"> </w:t>
      </w:r>
      <w:r>
        <w:t>is</w:t>
      </w:r>
      <w:r>
        <w:rPr>
          <w:spacing w:val="1"/>
        </w:rPr>
        <w:t xml:space="preserve"> </w:t>
      </w:r>
      <w:r>
        <w:t>a</w:t>
      </w:r>
      <w:r>
        <w:rPr>
          <w:spacing w:val="1"/>
        </w:rPr>
        <w:t xml:space="preserve"> </w:t>
      </w:r>
      <w:r>
        <w:t>very</w:t>
      </w:r>
      <w:r>
        <w:rPr>
          <w:spacing w:val="1"/>
        </w:rPr>
        <w:t xml:space="preserve"> </w:t>
      </w:r>
      <w:r>
        <w:t>exciting</w:t>
      </w:r>
      <w:r>
        <w:rPr>
          <w:spacing w:val="1"/>
        </w:rPr>
        <w:t xml:space="preserve"> </w:t>
      </w:r>
      <w:r>
        <w:t>and</w:t>
      </w:r>
      <w:r>
        <w:rPr>
          <w:spacing w:val="1"/>
        </w:rPr>
        <w:t xml:space="preserve"> </w:t>
      </w:r>
      <w:r>
        <w:t>vibrant</w:t>
      </w:r>
      <w:r>
        <w:rPr>
          <w:spacing w:val="1"/>
        </w:rPr>
        <w:t xml:space="preserve"> </w:t>
      </w:r>
      <w:r>
        <w:t>Ofsted</w:t>
      </w:r>
      <w:r>
        <w:rPr>
          <w:spacing w:val="1"/>
        </w:rPr>
        <w:t xml:space="preserve"> </w:t>
      </w:r>
      <w:r>
        <w:t>rated</w:t>
      </w:r>
      <w:r>
        <w:rPr>
          <w:spacing w:val="1"/>
        </w:rPr>
        <w:t xml:space="preserve"> </w:t>
      </w:r>
      <w:r>
        <w:t>“Good”</w:t>
      </w:r>
      <w:r>
        <w:rPr>
          <w:spacing w:val="1"/>
        </w:rPr>
        <w:t xml:space="preserve"> </w:t>
      </w:r>
      <w:r>
        <w:t>secondary</w:t>
      </w:r>
      <w:r>
        <w:rPr>
          <w:spacing w:val="1"/>
        </w:rPr>
        <w:t xml:space="preserve"> </w:t>
      </w:r>
      <w:r>
        <w:t>school</w:t>
      </w:r>
      <w:r>
        <w:rPr>
          <w:spacing w:val="1"/>
        </w:rPr>
        <w:t xml:space="preserve"> </w:t>
      </w:r>
      <w:r>
        <w:t>with</w:t>
      </w:r>
      <w:r>
        <w:rPr>
          <w:spacing w:val="1"/>
        </w:rPr>
        <w:t xml:space="preserve"> </w:t>
      </w:r>
      <w:r>
        <w:t>approximately 1500 students, covering a full age and ability range, the majority of whom continue</w:t>
      </w:r>
      <w:r>
        <w:rPr>
          <w:spacing w:val="1"/>
        </w:rPr>
        <w:t xml:space="preserve"> </w:t>
      </w:r>
      <w:r>
        <w:t>their</w:t>
      </w:r>
      <w:r>
        <w:rPr>
          <w:spacing w:val="-1"/>
        </w:rPr>
        <w:t xml:space="preserve"> </w:t>
      </w:r>
      <w:r>
        <w:t>education</w:t>
      </w:r>
      <w:r>
        <w:rPr>
          <w:spacing w:val="-1"/>
        </w:rPr>
        <w:t xml:space="preserve"> </w:t>
      </w:r>
      <w:r>
        <w:t>into</w:t>
      </w:r>
      <w:r>
        <w:rPr>
          <w:spacing w:val="-1"/>
        </w:rPr>
        <w:t xml:space="preserve"> </w:t>
      </w:r>
      <w:r>
        <w:t>our</w:t>
      </w:r>
      <w:r>
        <w:rPr>
          <w:spacing w:val="-1"/>
        </w:rPr>
        <w:t xml:space="preserve"> </w:t>
      </w:r>
      <w:r>
        <w:t>flourishing</w:t>
      </w:r>
      <w:r>
        <w:rPr>
          <w:spacing w:val="-1"/>
        </w:rPr>
        <w:t xml:space="preserve"> </w:t>
      </w:r>
      <w:r>
        <w:t>sixth</w:t>
      </w:r>
      <w:r>
        <w:rPr>
          <w:spacing w:val="-1"/>
        </w:rPr>
        <w:t xml:space="preserve"> </w:t>
      </w:r>
      <w:r>
        <w:t>form,</w:t>
      </w:r>
      <w:r>
        <w:rPr>
          <w:spacing w:val="-2"/>
        </w:rPr>
        <w:t xml:space="preserve"> </w:t>
      </w:r>
      <w:r>
        <w:t>the</w:t>
      </w:r>
      <w:r>
        <w:rPr>
          <w:spacing w:val="-1"/>
        </w:rPr>
        <w:t xml:space="preserve"> </w:t>
      </w:r>
      <w:r>
        <w:t>leadership</w:t>
      </w:r>
      <w:r>
        <w:rPr>
          <w:spacing w:val="-1"/>
        </w:rPr>
        <w:t xml:space="preserve"> </w:t>
      </w:r>
      <w:r>
        <w:t>of</w:t>
      </w:r>
      <w:r>
        <w:rPr>
          <w:spacing w:val="-2"/>
        </w:rPr>
        <w:t xml:space="preserve"> </w:t>
      </w:r>
      <w:r>
        <w:t>which</w:t>
      </w:r>
      <w:r>
        <w:rPr>
          <w:spacing w:val="-1"/>
        </w:rPr>
        <w:t xml:space="preserve"> </w:t>
      </w:r>
      <w:r>
        <w:t>is</w:t>
      </w:r>
      <w:r>
        <w:rPr>
          <w:spacing w:val="-3"/>
        </w:rPr>
        <w:t xml:space="preserve"> </w:t>
      </w:r>
      <w:r>
        <w:t>outstanding.</w:t>
      </w:r>
    </w:p>
    <w:p>
      <w:pPr>
        <w:pStyle w:val="BodyText"/>
        <w:spacing w:before="100" w:beforeAutospacing="1"/>
        <w:ind w:left="100"/>
      </w:pPr>
      <w:r>
        <w:t>As</w:t>
      </w:r>
      <w:r>
        <w:rPr>
          <w:spacing w:val="-1"/>
        </w:rPr>
        <w:t xml:space="preserve"> </w:t>
      </w:r>
      <w:r>
        <w:t>part</w:t>
      </w:r>
      <w:r>
        <w:rPr>
          <w:spacing w:val="-2"/>
        </w:rPr>
        <w:t xml:space="preserve"> </w:t>
      </w:r>
      <w:r>
        <w:t>of this role</w:t>
      </w:r>
      <w:r>
        <w:rPr>
          <w:spacing w:val="-4"/>
        </w:rPr>
        <w:t xml:space="preserve"> </w:t>
      </w:r>
      <w:r>
        <w:t>we</w:t>
      </w:r>
      <w:r>
        <w:rPr>
          <w:spacing w:val="1"/>
        </w:rPr>
        <w:t xml:space="preserve"> </w:t>
      </w:r>
      <w:r>
        <w:t>are</w:t>
      </w:r>
      <w:r>
        <w:rPr>
          <w:spacing w:val="-5"/>
        </w:rPr>
        <w:t xml:space="preserve"> </w:t>
      </w:r>
      <w:r>
        <w:t>offering:</w:t>
      </w:r>
    </w:p>
    <w:p>
      <w:pPr>
        <w:pStyle w:val="BodyText"/>
        <w:spacing w:before="5"/>
      </w:pP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A comprehensive year-long development program, one to develop your teaching abilities</w:t>
      </w: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Training in all aspects of SEND</w:t>
      </w: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A salary of £18,171 per year (UQ1)</w:t>
      </w:r>
    </w:p>
    <w:p>
      <w:pPr>
        <w:pStyle w:val="ListParagraph"/>
        <w:widowControl w:val="0"/>
        <w:numPr>
          <w:ilvl w:val="0"/>
          <w:numId w:val="22"/>
        </w:numPr>
        <w:tabs>
          <w:tab w:val="left" w:pos="820"/>
          <w:tab w:val="left" w:pos="821"/>
        </w:tabs>
        <w:autoSpaceDE w:val="0"/>
        <w:autoSpaceDN w:val="0"/>
        <w:spacing w:before="1"/>
        <w:ind w:hanging="361"/>
        <w:contextualSpacing w:val="0"/>
        <w:rPr>
          <w:rFonts w:ascii="Arial" w:eastAsia="Times New Roman" w:hAnsi="Arial"/>
          <w:lang w:eastAsia="en-US"/>
        </w:rPr>
      </w:pPr>
      <w:r>
        <w:rPr>
          <w:rFonts w:ascii="Arial" w:eastAsia="Times New Roman" w:hAnsi="Arial"/>
          <w:lang w:eastAsia="en-US"/>
        </w:rPr>
        <w:t>Team Teaching once a week with one of our excellent teachers</w:t>
      </w: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Support to subsequently apply to become a teacher for the right candidates</w:t>
      </w:r>
    </w:p>
    <w:p>
      <w:pPr>
        <w:pStyle w:val="BodyText"/>
        <w:spacing w:before="10"/>
      </w:pPr>
    </w:p>
    <w:p>
      <w:pPr>
        <w:pStyle w:val="BodyText"/>
        <w:ind w:left="100"/>
      </w:pPr>
      <w:r>
        <w:t>If you are creative, enthusiastic, hard-working, patient and committed we can offer you:</w:t>
      </w:r>
    </w:p>
    <w:p>
      <w:pPr>
        <w:pStyle w:val="BodyText"/>
        <w:spacing w:before="8"/>
      </w:pPr>
    </w:p>
    <w:p>
      <w:pPr>
        <w:pStyle w:val="ListParagraph"/>
        <w:widowControl w:val="0"/>
        <w:numPr>
          <w:ilvl w:val="0"/>
          <w:numId w:val="21"/>
        </w:numPr>
        <w:tabs>
          <w:tab w:val="left" w:pos="821"/>
        </w:tabs>
        <w:autoSpaceDE w:val="0"/>
        <w:autoSpaceDN w:val="0"/>
        <w:ind w:hanging="361"/>
        <w:contextualSpacing w:val="0"/>
        <w:jc w:val="both"/>
        <w:rPr>
          <w:rFonts w:ascii="Arial" w:eastAsia="Times New Roman" w:hAnsi="Arial"/>
          <w:lang w:eastAsia="en-US"/>
        </w:rPr>
      </w:pPr>
      <w:r>
        <w:rPr>
          <w:rFonts w:ascii="Arial" w:eastAsia="Times New Roman" w:hAnsi="Arial"/>
          <w:lang w:eastAsia="en-US"/>
        </w:rPr>
        <w:t>An initial year of gaining classroom experience as a tutor and teaching assistant</w:t>
      </w:r>
    </w:p>
    <w:p>
      <w:pPr>
        <w:pStyle w:val="ListParagraph"/>
        <w:widowControl w:val="0"/>
        <w:numPr>
          <w:ilvl w:val="0"/>
          <w:numId w:val="21"/>
        </w:numPr>
        <w:tabs>
          <w:tab w:val="left" w:pos="821"/>
        </w:tabs>
        <w:autoSpaceDE w:val="0"/>
        <w:autoSpaceDN w:val="0"/>
        <w:spacing w:before="41" w:line="276" w:lineRule="auto"/>
        <w:ind w:right="755"/>
        <w:contextualSpacing w:val="0"/>
        <w:jc w:val="both"/>
        <w:rPr>
          <w:rFonts w:ascii="Arial" w:eastAsia="Times New Roman" w:hAnsi="Arial"/>
          <w:lang w:eastAsia="en-US"/>
        </w:rPr>
      </w:pPr>
      <w:r>
        <w:rPr>
          <w:rFonts w:ascii="Arial" w:eastAsia="Times New Roman" w:hAnsi="Arial"/>
          <w:lang w:eastAsia="en-US"/>
        </w:rPr>
        <w:t xml:space="preserve">The option of a second year spent developing your teaching further and gaining Qualified Teacher Status (QTS)  in partnership with a university </w:t>
      </w:r>
    </w:p>
    <w:p>
      <w:pPr>
        <w:pStyle w:val="ListParagraph"/>
        <w:widowControl w:val="0"/>
        <w:numPr>
          <w:ilvl w:val="0"/>
          <w:numId w:val="21"/>
        </w:numPr>
        <w:tabs>
          <w:tab w:val="left" w:pos="821"/>
        </w:tabs>
        <w:autoSpaceDE w:val="0"/>
        <w:autoSpaceDN w:val="0"/>
        <w:spacing w:before="1"/>
        <w:ind w:hanging="361"/>
        <w:contextualSpacing w:val="0"/>
        <w:rPr>
          <w:rFonts w:ascii="Arial" w:eastAsia="Times New Roman" w:hAnsi="Arial"/>
          <w:lang w:eastAsia="en-US"/>
        </w:rPr>
      </w:pPr>
      <w:r>
        <w:rPr>
          <w:rFonts w:ascii="Arial" w:eastAsia="Times New Roman" w:hAnsi="Arial"/>
          <w:lang w:eastAsia="en-US"/>
        </w:rPr>
        <w:t>Access to an excellent professional studies programme</w:t>
      </w:r>
    </w:p>
    <w:p>
      <w:pPr>
        <w:pStyle w:val="ListParagraph"/>
        <w:widowControl w:val="0"/>
        <w:numPr>
          <w:ilvl w:val="0"/>
          <w:numId w:val="21"/>
        </w:numPr>
        <w:tabs>
          <w:tab w:val="left" w:pos="821"/>
        </w:tabs>
        <w:autoSpaceDE w:val="0"/>
        <w:autoSpaceDN w:val="0"/>
        <w:spacing w:before="41"/>
        <w:ind w:hanging="361"/>
        <w:contextualSpacing w:val="0"/>
        <w:rPr>
          <w:rFonts w:ascii="Arial" w:eastAsia="Times New Roman" w:hAnsi="Arial"/>
          <w:lang w:eastAsia="en-US"/>
        </w:rPr>
      </w:pPr>
      <w:r>
        <w:rPr>
          <w:rFonts w:ascii="Arial" w:eastAsia="Times New Roman" w:hAnsi="Arial"/>
          <w:lang w:eastAsia="en-US"/>
        </w:rPr>
        <w:t>Weekly mentoring sessions from both a subject mentor and a professional mentor</w:t>
      </w:r>
    </w:p>
    <w:p>
      <w:pPr>
        <w:pStyle w:val="ListParagraph"/>
        <w:widowControl w:val="0"/>
        <w:numPr>
          <w:ilvl w:val="0"/>
          <w:numId w:val="21"/>
        </w:numPr>
        <w:tabs>
          <w:tab w:val="left" w:pos="821"/>
        </w:tabs>
        <w:autoSpaceDE w:val="0"/>
        <w:autoSpaceDN w:val="0"/>
        <w:spacing w:before="38"/>
        <w:ind w:hanging="361"/>
        <w:contextualSpacing w:val="0"/>
        <w:rPr>
          <w:rFonts w:ascii="Arial" w:eastAsia="Times New Roman" w:hAnsi="Arial"/>
          <w:lang w:eastAsia="en-US"/>
        </w:rPr>
      </w:pPr>
      <w:r>
        <w:rPr>
          <w:rFonts w:ascii="Arial" w:eastAsia="Times New Roman" w:hAnsi="Arial"/>
          <w:lang w:eastAsia="en-US"/>
        </w:rPr>
        <w:t>Access to a cycle scheme</w:t>
      </w:r>
    </w:p>
    <w:p>
      <w:pPr>
        <w:pStyle w:val="ListParagraph"/>
        <w:widowControl w:val="0"/>
        <w:numPr>
          <w:ilvl w:val="0"/>
          <w:numId w:val="21"/>
        </w:numPr>
        <w:tabs>
          <w:tab w:val="left" w:pos="821"/>
        </w:tabs>
        <w:autoSpaceDE w:val="0"/>
        <w:autoSpaceDN w:val="0"/>
        <w:spacing w:before="41"/>
        <w:ind w:hanging="361"/>
        <w:contextualSpacing w:val="0"/>
        <w:rPr>
          <w:rFonts w:ascii="Arial" w:eastAsia="Times New Roman" w:hAnsi="Arial"/>
          <w:lang w:eastAsia="en-US"/>
        </w:rPr>
      </w:pPr>
      <w:r>
        <w:rPr>
          <w:rFonts w:ascii="Arial" w:eastAsia="Times New Roman" w:hAnsi="Arial"/>
          <w:lang w:eastAsia="en-US"/>
        </w:rPr>
        <w:t>Christmas and Summer all staff parties, plus regular faculty-wide socials.</w:t>
      </w:r>
    </w:p>
    <w:p>
      <w:pPr>
        <w:pStyle w:val="ListParagraph"/>
        <w:widowControl w:val="0"/>
        <w:numPr>
          <w:ilvl w:val="0"/>
          <w:numId w:val="21"/>
        </w:numPr>
        <w:tabs>
          <w:tab w:val="left" w:pos="821"/>
        </w:tabs>
        <w:autoSpaceDE w:val="0"/>
        <w:autoSpaceDN w:val="0"/>
        <w:spacing w:before="41"/>
        <w:ind w:hanging="361"/>
        <w:contextualSpacing w:val="0"/>
        <w:rPr>
          <w:rFonts w:ascii="Arial" w:eastAsia="Times New Roman" w:hAnsi="Arial"/>
          <w:lang w:eastAsia="en-US"/>
        </w:rPr>
      </w:pPr>
      <w:r>
        <w:rPr>
          <w:rFonts w:ascii="Arial" w:eastAsia="Times New Roman" w:hAnsi="Arial"/>
          <w:lang w:eastAsia="en-US"/>
        </w:rPr>
        <w:t>Free on-site parking for all staff</w:t>
      </w:r>
    </w:p>
    <w:p>
      <w:pPr>
        <w:pStyle w:val="ListParagraph"/>
        <w:widowControl w:val="0"/>
        <w:numPr>
          <w:ilvl w:val="0"/>
          <w:numId w:val="21"/>
        </w:numPr>
        <w:tabs>
          <w:tab w:val="left" w:pos="821"/>
        </w:tabs>
        <w:autoSpaceDE w:val="0"/>
        <w:autoSpaceDN w:val="0"/>
        <w:spacing w:before="39" w:line="276" w:lineRule="auto"/>
        <w:ind w:right="758"/>
        <w:contextualSpacing w:val="0"/>
      </w:pPr>
      <w:r>
        <w:rPr>
          <w:rFonts w:ascii="Arial" w:eastAsia="Times New Roman" w:hAnsi="Arial"/>
          <w:lang w:eastAsia="en-US"/>
        </w:rPr>
        <w:t>Superb sports facilities including a trim trail and fitness centre which is available for use by staff for free until 6pm</w:t>
      </w:r>
    </w:p>
    <w:p>
      <w:pPr>
        <w:pStyle w:val="BodyText"/>
      </w:pPr>
    </w:p>
    <w:p>
      <w:pPr>
        <w:autoSpaceDE w:val="0"/>
        <w:autoSpaceDN w:val="0"/>
        <w:adjustRightInd w:val="0"/>
        <w:jc w:val="both"/>
        <w:rPr>
          <w:rFonts w:ascii="Arial" w:hAnsi="Arial" w:cs="Arial"/>
          <w:noProof w:val="0"/>
          <w:sz w:val="22"/>
          <w:szCs w:val="22"/>
          <w:lang w:eastAsia="en-GB"/>
        </w:rPr>
      </w:pPr>
      <w:r>
        <w:rPr>
          <w:rFonts w:ascii="Arial" w:eastAsia="Times New Roman" w:hAnsi="Arial"/>
          <w:noProof w:val="0"/>
        </w:rPr>
        <w:t xml:space="preserve">If you are interested, please complete the application form below and email to </w:t>
      </w:r>
      <w:hyperlink r:id="rId9" w:history="1">
        <w:r>
          <w:rPr>
            <w:rFonts w:ascii="Arial" w:eastAsia="Times New Roman" w:hAnsi="Arial"/>
            <w:noProof w:val="0"/>
          </w:rPr>
          <w:t>HR@nobel.herts.sch.uk</w:t>
        </w:r>
      </w:hyperlink>
      <w:r>
        <w:rPr>
          <w:rFonts w:ascii="Arial" w:eastAsia="Times New Roman" w:hAnsi="Arial"/>
          <w:noProof w:val="0"/>
        </w:rPr>
        <w:t xml:space="preserve">   Closing date for applications is 9:00am Wednesday 1st December.</w:t>
      </w:r>
      <w:r>
        <w:rPr>
          <w:rFonts w:ascii="Arial" w:hAnsi="Arial" w:cs="Arial"/>
          <w:b/>
          <w:sz w:val="22"/>
          <w:szCs w:val="22"/>
        </w:rPr>
        <w:t xml:space="preserve">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pPr>
        <w:pStyle w:val="BodyText"/>
        <w:spacing w:before="173"/>
        <w:ind w:left="100"/>
      </w:pPr>
    </w:p>
    <w:p>
      <w:pPr>
        <w:pStyle w:val="BodyText"/>
        <w:spacing w:before="173"/>
        <w:ind w:left="100"/>
        <w:rPr>
          <w:sz w:val="15"/>
        </w:rPr>
      </w:pPr>
      <w:r>
        <w:t xml:space="preserve"> </w:t>
      </w:r>
    </w:p>
    <w:p>
      <w:pPr>
        <w:pStyle w:val="BodyText"/>
        <w:spacing w:before="56"/>
        <w:ind w:left="100" w:right="8381"/>
      </w:pPr>
      <w:r>
        <w:t>Martyn Henson</w:t>
      </w:r>
      <w:r>
        <w:rPr>
          <w:spacing w:val="-47"/>
        </w:rPr>
        <w:t xml:space="preserve"> </w:t>
      </w:r>
      <w:r>
        <w:t>Headteacher</w:t>
      </w:r>
    </w:p>
    <w:p>
      <w:pPr>
        <w:jc w:val="both"/>
        <w:rPr>
          <w:rFonts w:ascii="Arial" w:hAnsi="Arial" w:cs="Arial"/>
        </w:rPr>
      </w:pP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 xml:space="preserve">Post Applied for:     Graduate TA                                             at:         The Nobel School                                      </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PREVIOUS EMPLOYMENT DETAILS</w:t>
      </w:r>
    </w:p>
    <w:p>
      <w:pPr>
        <w:rPr>
          <w:rFonts w:ascii="Arial" w:hAnsi="Arial" w:cs="Arial"/>
          <w:sz w:val="22"/>
          <w:szCs w:val="22"/>
        </w:rPr>
      </w:pPr>
      <w:r>
        <w:rPr>
          <w:rFonts w:ascii="Arial" w:hAnsi="Arial" w:cs="Arial"/>
          <w:sz w:val="22"/>
          <w:szCs w:val="22"/>
        </w:rPr>
        <w:lastRenderedPageBreak/>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0"/>
      <w:footerReference w:type="default" r:id="rId11"/>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5A82FD3"/>
    <w:multiLevelType w:val="hybridMultilevel"/>
    <w:tmpl w:val="F0FCB1A8"/>
    <w:lvl w:ilvl="0" w:tplc="0808705A">
      <w:numFmt w:val="bullet"/>
      <w:lvlText w:val=""/>
      <w:lvlJc w:val="left"/>
      <w:pPr>
        <w:ind w:left="820" w:hanging="360"/>
      </w:pPr>
      <w:rPr>
        <w:rFonts w:ascii="Wingdings" w:eastAsia="Wingdings" w:hAnsi="Wingdings" w:cs="Wingdings" w:hint="default"/>
        <w:b w:val="0"/>
        <w:bCs w:val="0"/>
        <w:i w:val="0"/>
        <w:iCs w:val="0"/>
        <w:w w:val="100"/>
        <w:sz w:val="22"/>
        <w:szCs w:val="22"/>
        <w:lang w:val="en-GB" w:eastAsia="en-US" w:bidi="ar-SA"/>
      </w:rPr>
    </w:lvl>
    <w:lvl w:ilvl="1" w:tplc="C17E7B06">
      <w:numFmt w:val="bullet"/>
      <w:lvlText w:val="•"/>
      <w:lvlJc w:val="left"/>
      <w:pPr>
        <w:ind w:left="1726" w:hanging="360"/>
      </w:pPr>
      <w:rPr>
        <w:rFonts w:hint="default"/>
        <w:lang w:val="en-GB" w:eastAsia="en-US" w:bidi="ar-SA"/>
      </w:rPr>
    </w:lvl>
    <w:lvl w:ilvl="2" w:tplc="F14A6D56">
      <w:numFmt w:val="bullet"/>
      <w:lvlText w:val="•"/>
      <w:lvlJc w:val="left"/>
      <w:pPr>
        <w:ind w:left="2633" w:hanging="360"/>
      </w:pPr>
      <w:rPr>
        <w:rFonts w:hint="default"/>
        <w:lang w:val="en-GB" w:eastAsia="en-US" w:bidi="ar-SA"/>
      </w:rPr>
    </w:lvl>
    <w:lvl w:ilvl="3" w:tplc="1870FF36">
      <w:numFmt w:val="bullet"/>
      <w:lvlText w:val="•"/>
      <w:lvlJc w:val="left"/>
      <w:pPr>
        <w:ind w:left="3539" w:hanging="360"/>
      </w:pPr>
      <w:rPr>
        <w:rFonts w:hint="default"/>
        <w:lang w:val="en-GB" w:eastAsia="en-US" w:bidi="ar-SA"/>
      </w:rPr>
    </w:lvl>
    <w:lvl w:ilvl="4" w:tplc="4B00AD20">
      <w:numFmt w:val="bullet"/>
      <w:lvlText w:val="•"/>
      <w:lvlJc w:val="left"/>
      <w:pPr>
        <w:ind w:left="4446" w:hanging="360"/>
      </w:pPr>
      <w:rPr>
        <w:rFonts w:hint="default"/>
        <w:lang w:val="en-GB" w:eastAsia="en-US" w:bidi="ar-SA"/>
      </w:rPr>
    </w:lvl>
    <w:lvl w:ilvl="5" w:tplc="2784512C">
      <w:numFmt w:val="bullet"/>
      <w:lvlText w:val="•"/>
      <w:lvlJc w:val="left"/>
      <w:pPr>
        <w:ind w:left="5353" w:hanging="360"/>
      </w:pPr>
      <w:rPr>
        <w:rFonts w:hint="default"/>
        <w:lang w:val="en-GB" w:eastAsia="en-US" w:bidi="ar-SA"/>
      </w:rPr>
    </w:lvl>
    <w:lvl w:ilvl="6" w:tplc="9D148522">
      <w:numFmt w:val="bullet"/>
      <w:lvlText w:val="•"/>
      <w:lvlJc w:val="left"/>
      <w:pPr>
        <w:ind w:left="6259" w:hanging="360"/>
      </w:pPr>
      <w:rPr>
        <w:rFonts w:hint="default"/>
        <w:lang w:val="en-GB" w:eastAsia="en-US" w:bidi="ar-SA"/>
      </w:rPr>
    </w:lvl>
    <w:lvl w:ilvl="7" w:tplc="EB244E26">
      <w:numFmt w:val="bullet"/>
      <w:lvlText w:val="•"/>
      <w:lvlJc w:val="left"/>
      <w:pPr>
        <w:ind w:left="7166" w:hanging="360"/>
      </w:pPr>
      <w:rPr>
        <w:rFonts w:hint="default"/>
        <w:lang w:val="en-GB" w:eastAsia="en-US" w:bidi="ar-SA"/>
      </w:rPr>
    </w:lvl>
    <w:lvl w:ilvl="8" w:tplc="969C4456">
      <w:numFmt w:val="bullet"/>
      <w:lvlText w:val="•"/>
      <w:lvlJc w:val="left"/>
      <w:pPr>
        <w:ind w:left="8073" w:hanging="360"/>
      </w:pPr>
      <w:rPr>
        <w:rFonts w:hint="default"/>
        <w:lang w:val="en-GB" w:eastAsia="en-US" w:bidi="ar-SA"/>
      </w:rPr>
    </w:lvl>
  </w:abstractNum>
  <w:abstractNum w:abstractNumId="5"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7F1E"/>
    <w:multiLevelType w:val="hybridMultilevel"/>
    <w:tmpl w:val="DDA21148"/>
    <w:lvl w:ilvl="0" w:tplc="6F6A97F4">
      <w:numFmt w:val="bullet"/>
      <w:lvlText w:val=""/>
      <w:lvlJc w:val="left"/>
      <w:pPr>
        <w:ind w:left="820" w:hanging="360"/>
      </w:pPr>
      <w:rPr>
        <w:rFonts w:ascii="Symbol" w:eastAsia="Symbol" w:hAnsi="Symbol" w:cs="Symbol" w:hint="default"/>
        <w:b w:val="0"/>
        <w:bCs w:val="0"/>
        <w:i w:val="0"/>
        <w:iCs w:val="0"/>
        <w:w w:val="99"/>
        <w:sz w:val="20"/>
        <w:szCs w:val="20"/>
        <w:lang w:val="en-GB" w:eastAsia="en-US" w:bidi="ar-SA"/>
      </w:rPr>
    </w:lvl>
    <w:lvl w:ilvl="1" w:tplc="E5C8A93C">
      <w:numFmt w:val="bullet"/>
      <w:lvlText w:val="•"/>
      <w:lvlJc w:val="left"/>
      <w:pPr>
        <w:ind w:left="1726" w:hanging="360"/>
      </w:pPr>
      <w:rPr>
        <w:rFonts w:hint="default"/>
        <w:lang w:val="en-GB" w:eastAsia="en-US" w:bidi="ar-SA"/>
      </w:rPr>
    </w:lvl>
    <w:lvl w:ilvl="2" w:tplc="E6E44EA0">
      <w:numFmt w:val="bullet"/>
      <w:lvlText w:val="•"/>
      <w:lvlJc w:val="left"/>
      <w:pPr>
        <w:ind w:left="2633" w:hanging="360"/>
      </w:pPr>
      <w:rPr>
        <w:rFonts w:hint="default"/>
        <w:lang w:val="en-GB" w:eastAsia="en-US" w:bidi="ar-SA"/>
      </w:rPr>
    </w:lvl>
    <w:lvl w:ilvl="3" w:tplc="A0FC8692">
      <w:numFmt w:val="bullet"/>
      <w:lvlText w:val="•"/>
      <w:lvlJc w:val="left"/>
      <w:pPr>
        <w:ind w:left="3539" w:hanging="360"/>
      </w:pPr>
      <w:rPr>
        <w:rFonts w:hint="default"/>
        <w:lang w:val="en-GB" w:eastAsia="en-US" w:bidi="ar-SA"/>
      </w:rPr>
    </w:lvl>
    <w:lvl w:ilvl="4" w:tplc="F55C6646">
      <w:numFmt w:val="bullet"/>
      <w:lvlText w:val="•"/>
      <w:lvlJc w:val="left"/>
      <w:pPr>
        <w:ind w:left="4446" w:hanging="360"/>
      </w:pPr>
      <w:rPr>
        <w:rFonts w:hint="default"/>
        <w:lang w:val="en-GB" w:eastAsia="en-US" w:bidi="ar-SA"/>
      </w:rPr>
    </w:lvl>
    <w:lvl w:ilvl="5" w:tplc="1FF43028">
      <w:numFmt w:val="bullet"/>
      <w:lvlText w:val="•"/>
      <w:lvlJc w:val="left"/>
      <w:pPr>
        <w:ind w:left="5353" w:hanging="360"/>
      </w:pPr>
      <w:rPr>
        <w:rFonts w:hint="default"/>
        <w:lang w:val="en-GB" w:eastAsia="en-US" w:bidi="ar-SA"/>
      </w:rPr>
    </w:lvl>
    <w:lvl w:ilvl="6" w:tplc="E75092AE">
      <w:numFmt w:val="bullet"/>
      <w:lvlText w:val="•"/>
      <w:lvlJc w:val="left"/>
      <w:pPr>
        <w:ind w:left="6259" w:hanging="360"/>
      </w:pPr>
      <w:rPr>
        <w:rFonts w:hint="default"/>
        <w:lang w:val="en-GB" w:eastAsia="en-US" w:bidi="ar-SA"/>
      </w:rPr>
    </w:lvl>
    <w:lvl w:ilvl="7" w:tplc="962E0B14">
      <w:numFmt w:val="bullet"/>
      <w:lvlText w:val="•"/>
      <w:lvlJc w:val="left"/>
      <w:pPr>
        <w:ind w:left="7166" w:hanging="360"/>
      </w:pPr>
      <w:rPr>
        <w:rFonts w:hint="default"/>
        <w:lang w:val="en-GB" w:eastAsia="en-US" w:bidi="ar-SA"/>
      </w:rPr>
    </w:lvl>
    <w:lvl w:ilvl="8" w:tplc="476E9BDC">
      <w:numFmt w:val="bullet"/>
      <w:lvlText w:val="•"/>
      <w:lvlJc w:val="left"/>
      <w:pPr>
        <w:ind w:left="8073" w:hanging="360"/>
      </w:pPr>
      <w:rPr>
        <w:rFonts w:hint="default"/>
        <w:lang w:val="en-GB" w:eastAsia="en-US" w:bidi="ar-SA"/>
      </w:rPr>
    </w:lvl>
  </w:abstractNum>
  <w:abstractNum w:abstractNumId="7"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12"/>
  </w:num>
  <w:num w:numId="4">
    <w:abstractNumId w:val="21"/>
  </w:num>
  <w:num w:numId="5">
    <w:abstractNumId w:val="10"/>
  </w:num>
  <w:num w:numId="6">
    <w:abstractNumId w:val="7"/>
  </w:num>
  <w:num w:numId="7">
    <w:abstractNumId w:val="18"/>
  </w:num>
  <w:num w:numId="8">
    <w:abstractNumId w:val="9"/>
  </w:num>
  <w:num w:numId="9">
    <w:abstractNumId w:val="16"/>
  </w:num>
  <w:num w:numId="10">
    <w:abstractNumId w:val="13"/>
  </w:num>
  <w:num w:numId="11">
    <w:abstractNumId w:val="11"/>
  </w:num>
  <w:num w:numId="12">
    <w:abstractNumId w:val="8"/>
  </w:num>
  <w:num w:numId="13">
    <w:abstractNumId w:val="20"/>
  </w:num>
  <w:num w:numId="14">
    <w:abstractNumId w:val="2"/>
  </w:num>
  <w:num w:numId="15">
    <w:abstractNumId w:val="19"/>
  </w:num>
  <w:num w:numId="16">
    <w:abstractNumId w:val="15"/>
  </w:num>
  <w:num w:numId="17">
    <w:abstractNumId w:val="3"/>
  </w:num>
  <w:num w:numId="18">
    <w:abstractNumId w:val="0"/>
  </w:num>
  <w:num w:numId="19">
    <w:abstractNumId w:val="14"/>
  </w:num>
  <w:num w:numId="20">
    <w:abstractNumId w:val="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1"/>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obel.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6D4D-4752-442E-A499-11C59BCC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1126</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7509</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7</cp:revision>
  <cp:lastPrinted>2019-01-14T14:08:00Z</cp:lastPrinted>
  <dcterms:created xsi:type="dcterms:W3CDTF">2021-05-17T12:16:00Z</dcterms:created>
  <dcterms:modified xsi:type="dcterms:W3CDTF">2021-11-17T15:07:00Z</dcterms:modified>
</cp:coreProperties>
</file>