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62336" behindDoc="1" locked="0" layoutInCell="1" allowOverlap="1">
            <wp:simplePos x="0" y="0"/>
            <wp:positionH relativeFrom="column">
              <wp:posOffset>5276850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pPr>
        <w:keepLines/>
        <w:ind w:right="1134"/>
        <w:rPr>
          <w:rFonts w:ascii="Arial" w:hAnsi="Arial"/>
          <w:snapToGrid w:val="0"/>
          <w:color w:val="000000"/>
          <w:sz w:val="20"/>
        </w:rPr>
      </w:pPr>
    </w:p>
    <w:p>
      <w:pPr>
        <w:keepLines/>
        <w:ind w:right="1134"/>
        <w:rPr>
          <w:rFonts w:ascii="Arial" w:hAnsi="Arial"/>
          <w:snapToGrid w:val="0"/>
          <w:color w:val="000000"/>
          <w:sz w:val="20"/>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Science</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The Faculty</w:t>
      </w:r>
    </w:p>
    <w:p>
      <w:pPr>
        <w:autoSpaceDE w:val="0"/>
        <w:autoSpaceDN w:val="0"/>
        <w:adjustRightInd w:val="0"/>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teaches biology, chemistry and physics as well as the CTEC level 3 course. It is committed to teaching science in a way that inspires our students to become the scientists of tomorrow. We place a strong emphasis on using evidence informed practice to inform our teaching and support decision making.</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Facilities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 xml:space="preserve">We have moved into the purpose built new school and the science faculty now has 10 laboratories which are flexible spaces which allow practical work to take place. We </w:t>
      </w:r>
      <w:proofErr w:type="spellStart"/>
      <w:r>
        <w:rPr>
          <w:rFonts w:ascii="ArialMT" w:hAnsi="ArialMT" w:cs="ArialMT"/>
          <w:noProof w:val="0"/>
          <w:szCs w:val="24"/>
          <w:lang w:eastAsia="en-GB"/>
        </w:rPr>
        <w:t>havea</w:t>
      </w:r>
      <w:proofErr w:type="spellEnd"/>
      <w:r>
        <w:rPr>
          <w:rFonts w:ascii="ArialMT" w:hAnsi="ArialMT" w:cs="ArialMT"/>
          <w:noProof w:val="0"/>
          <w:szCs w:val="24"/>
          <w:lang w:eastAsia="en-GB"/>
        </w:rPr>
        <w:t xml:space="preserve"> suite of </w:t>
      </w:r>
      <w:proofErr w:type="spellStart"/>
      <w:r>
        <w:rPr>
          <w:rFonts w:ascii="ArialMT" w:hAnsi="ArialMT" w:cs="ArialMT"/>
          <w:noProof w:val="0"/>
          <w:szCs w:val="24"/>
          <w:lang w:eastAsia="en-GB"/>
        </w:rPr>
        <w:t>Ipads</w:t>
      </w:r>
      <w:proofErr w:type="spellEnd"/>
      <w:r>
        <w:rPr>
          <w:rFonts w:ascii="ArialMT" w:hAnsi="ArialMT" w:cs="ArialMT"/>
          <w:noProof w:val="0"/>
          <w:szCs w:val="24"/>
          <w:lang w:eastAsia="en-GB"/>
        </w:rPr>
        <w:t xml:space="preserve"> and 30 additional laptops and have outstanding resources which enable us to deliver high level practical across all key stages.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Staffing Structure</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MT" w:hAnsi="ArialMT" w:cs="ArialMT"/>
          <w:noProof w:val="0"/>
          <w:szCs w:val="24"/>
          <w:lang w:eastAsia="en-GB"/>
        </w:rPr>
        <w:t>The science faculty has a head of faculty, Mrs Pearson and a head of biology, chemistry and physics. The</w:t>
      </w:r>
      <w:r>
        <w:rPr>
          <w:rFonts w:ascii="Arial-BoldMT" w:hAnsi="Arial-BoldMT" w:cs="Arial-BoldMT"/>
          <w:b/>
          <w:bCs/>
          <w:noProof w:val="0"/>
          <w:szCs w:val="24"/>
          <w:lang w:eastAsia="en-GB"/>
        </w:rPr>
        <w:t xml:space="preserve"> </w:t>
      </w:r>
      <w:r>
        <w:rPr>
          <w:rFonts w:ascii="ArialMT" w:hAnsi="ArialMT" w:cs="ArialMT"/>
          <w:noProof w:val="0"/>
          <w:szCs w:val="24"/>
          <w:lang w:eastAsia="en-GB"/>
        </w:rPr>
        <w:t>faculty also has two lead practitioners and a member of the faculty as a Specialist Leader in Education. The faculty is also fortunate to have three full time,</w:t>
      </w:r>
      <w:r>
        <w:rPr>
          <w:rFonts w:ascii="Arial-BoldMT" w:hAnsi="Arial-BoldMT" w:cs="Arial-BoldMT"/>
          <w:b/>
          <w:bCs/>
          <w:noProof w:val="0"/>
          <w:szCs w:val="24"/>
          <w:lang w:eastAsia="en-GB"/>
        </w:rPr>
        <w:t xml:space="preserve"> </w:t>
      </w:r>
      <w:r>
        <w:rPr>
          <w:rFonts w:ascii="ArialMT" w:hAnsi="ArialMT" w:cs="ArialMT"/>
          <w:noProof w:val="0"/>
          <w:szCs w:val="24"/>
          <w:lang w:eastAsia="en-GB"/>
        </w:rPr>
        <w:t>subject specific technicians.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Science Curriculum</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Nobel has developed a knowledge based key stage 3 curriculum following the National Curriculum. We value subject knowledge and believe that students learn effectively by being able to learn new ideas by referencing ideas they already know.  At key stage 4 we offer triple and combined science following the AQA specification (for combined we do Trilogy).</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Each fortnight, our students have 6 hours of science teaching in year 7 and 7 hours in year 8 and 9. At KS4 combined science students have 9 hours and triple scientists have 15 hours. Our KS5 students benefit from 9 hours of teaching from specialist teachers.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Extra-Curricular / Fieldwork</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 xml:space="preserve">The science faculty offers a range of trips and visits as well as extra-curricular activities. Our KS5 scientists have the opportunity to go on educational visits to CERN and Whipsnade Zoo. The faculty holds Parents in Science Evenings to engage students and their parents. Our most able students attend the </w:t>
      </w:r>
      <w:r>
        <w:rPr>
          <w:rFonts w:ascii="ArialMT" w:hAnsi="ArialMT" w:cs="ArialMT"/>
          <w:noProof w:val="0"/>
          <w:szCs w:val="24"/>
          <w:lang w:eastAsia="en-GB"/>
        </w:rPr>
        <w:lastRenderedPageBreak/>
        <w:t>Salters Festival. The faculty has good links with GSK, enjoys National Science and Engineering Week and puts on regular clubs throughout the year for different year groups.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sz w:val="40"/>
          <w:szCs w:val="40"/>
        </w:rPr>
      </w:pPr>
      <w:r>
        <w:rPr>
          <w:rFonts w:ascii="ArialMT" w:hAnsi="ArialMT" w:cs="ArialMT"/>
          <w:noProof w:val="0"/>
          <w:szCs w:val="24"/>
          <w:lang w:eastAsia="en-GB"/>
        </w:rPr>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r>
        <w:rPr>
          <w:rFonts w:ascii="Arial" w:hAnsi="Arial" w:cs="Arial"/>
          <w:sz w:val="40"/>
          <w:szCs w:val="40"/>
        </w:rPr>
        <w:br w:type="page"/>
      </w:r>
    </w:p>
    <w:p>
      <w:pPr>
        <w:rPr>
          <w:rFonts w:ascii="Arial" w:eastAsia="Times New Roman" w:hAnsi="Arial" w:cs="Arial"/>
          <w:b/>
          <w:bCs/>
          <w:noProof w:val="0"/>
          <w:sz w:val="40"/>
          <w:szCs w:val="40"/>
        </w:rPr>
      </w:pPr>
      <w:r>
        <w:rPr>
          <w:lang w:eastAsia="en-GB"/>
        </w:rPr>
        <w:lastRenderedPageBreak/>
        <w:drawing>
          <wp:anchor distT="0" distB="0" distL="114300" distR="114300" simplePos="0" relativeHeight="251664384" behindDoc="1" locked="0" layoutInCell="1" allowOverlap="1">
            <wp:simplePos x="0" y="0"/>
            <wp:positionH relativeFrom="column">
              <wp:posOffset>5391150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autoSpaceDE w:val="0"/>
        <w:autoSpaceDN w:val="0"/>
        <w:adjustRightInd w:val="0"/>
        <w:jc w:val="both"/>
        <w:rPr>
          <w:rFonts w:ascii="Arial" w:hAnsi="Arial" w:cs="Arial"/>
          <w:b/>
          <w:noProof w:val="0"/>
          <w:szCs w:val="24"/>
          <w:lang w:eastAsia="en-GB"/>
        </w:rPr>
      </w:pPr>
      <w:r>
        <w:rPr>
          <w:rFonts w:ascii="Arial" w:hAnsi="Arial" w:cs="Arial"/>
          <w:b/>
          <w:szCs w:val="24"/>
        </w:rPr>
        <w:t>Head of Biology</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c>
          <w:tcPr>
            <w:tcW w:w="4261" w:type="dxa"/>
            <w:tcBorders>
              <w:bottom w:val="nil"/>
            </w:tcBorders>
          </w:tcPr>
          <w:p>
            <w:pPr>
              <w:keepNext/>
              <w:jc w:val="center"/>
              <w:outlineLvl w:val="1"/>
              <w:rPr>
                <w:rFonts w:ascii="Arial" w:eastAsia="Times New Roman" w:hAnsi="Arial" w:cs="Arial"/>
                <w:b/>
                <w:noProof w:val="0"/>
                <w:szCs w:val="24"/>
                <w:lang w:eastAsia="en-GB"/>
              </w:rPr>
            </w:pPr>
            <w:r>
              <w:rPr>
                <w:rFonts w:ascii="Arial" w:eastAsia="Times New Roman" w:hAnsi="Arial" w:cs="Arial"/>
                <w:b/>
                <w:noProof w:val="0"/>
                <w:szCs w:val="24"/>
                <w:lang w:eastAsia="en-GB"/>
              </w:rPr>
              <w:t>Essential</w:t>
            </w:r>
          </w:p>
        </w:tc>
        <w:tc>
          <w:tcPr>
            <w:tcW w:w="4261" w:type="dxa"/>
            <w:tcBorders>
              <w:bottom w:val="nil"/>
            </w:tcBorders>
          </w:tcPr>
          <w:p>
            <w:pPr>
              <w:keepNext/>
              <w:jc w:val="center"/>
              <w:outlineLvl w:val="1"/>
              <w:rPr>
                <w:rFonts w:ascii="Arial" w:eastAsia="Times New Roman" w:hAnsi="Arial" w:cs="Arial"/>
                <w:b/>
                <w:noProof w:val="0"/>
                <w:szCs w:val="24"/>
                <w:lang w:eastAsia="en-GB"/>
              </w:rPr>
            </w:pPr>
            <w:r>
              <w:rPr>
                <w:rFonts w:ascii="Arial" w:eastAsia="Times New Roman" w:hAnsi="Arial" w:cs="Arial"/>
                <w:b/>
                <w:noProof w:val="0"/>
                <w:szCs w:val="24"/>
                <w:lang w:eastAsia="en-GB"/>
              </w:rPr>
              <w:t>Desirable</w:t>
            </w: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Qualifications</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Science graduate with a good degree</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Qualified Teacher Status</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color w:val="FF0000"/>
                <w:szCs w:val="24"/>
                <w:highlight w:val="yellow"/>
              </w:rPr>
            </w:pPr>
            <w:r>
              <w:rPr>
                <w:rFonts w:ascii="Arial" w:hAnsi="Arial" w:cs="Arial"/>
                <w:szCs w:val="24"/>
              </w:rPr>
              <w:t>Ability to teach Biology, Chemistry and Physics to KS3 and KS4.</w:t>
            </w:r>
          </w:p>
        </w:tc>
        <w:tc>
          <w:tcPr>
            <w:tcW w:w="4261" w:type="dxa"/>
          </w:tcPr>
          <w:p>
            <w:pPr>
              <w:rPr>
                <w:rFonts w:ascii="Arial" w:hAnsi="Arial" w:cs="Arial"/>
                <w:szCs w:val="24"/>
                <w:highlight w:val="yellow"/>
              </w:rPr>
            </w:pPr>
          </w:p>
        </w:tc>
      </w:tr>
      <w:tr>
        <w:tc>
          <w:tcPr>
            <w:tcW w:w="4261" w:type="dxa"/>
          </w:tcPr>
          <w:p>
            <w:pPr>
              <w:rPr>
                <w:rFonts w:ascii="Arial" w:hAnsi="Arial" w:cs="Arial"/>
                <w:szCs w:val="24"/>
              </w:rPr>
            </w:pPr>
            <w:r>
              <w:rPr>
                <w:rFonts w:ascii="Arial" w:hAnsi="Arial" w:cs="Arial"/>
                <w:szCs w:val="24"/>
              </w:rPr>
              <w:t>Evidence of continuing professional development</w:t>
            </w:r>
          </w:p>
        </w:tc>
        <w:tc>
          <w:tcPr>
            <w:tcW w:w="4261" w:type="dxa"/>
          </w:tcPr>
          <w:p>
            <w:pPr>
              <w:rPr>
                <w:rFonts w:ascii="Arial" w:hAnsi="Arial" w:cs="Arial"/>
                <w:szCs w:val="24"/>
              </w:rPr>
            </w:pP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Professional Experience</w:t>
            </w:r>
          </w:p>
        </w:tc>
      </w:tr>
      <w:tr>
        <w:tc>
          <w:tcPr>
            <w:tcW w:w="4261" w:type="dxa"/>
          </w:tcPr>
          <w:p>
            <w:pPr>
              <w:rPr>
                <w:rFonts w:ascii="Arial" w:hAnsi="Arial" w:cs="Arial"/>
                <w:szCs w:val="24"/>
                <w:highlight w:val="yellow"/>
              </w:rPr>
            </w:pPr>
            <w:r>
              <w:rPr>
                <w:rFonts w:ascii="Arial" w:hAnsi="Arial" w:cs="Arial"/>
                <w:szCs w:val="24"/>
              </w:rPr>
              <w:t>Have ambition and vision for the performance of the faculty</w:t>
            </w:r>
          </w:p>
        </w:tc>
        <w:tc>
          <w:tcPr>
            <w:tcW w:w="4261" w:type="dxa"/>
          </w:tcPr>
          <w:p>
            <w:pPr>
              <w:rPr>
                <w:rFonts w:ascii="Arial" w:hAnsi="Arial" w:cs="Arial"/>
                <w:szCs w:val="24"/>
              </w:rPr>
            </w:pPr>
            <w:r>
              <w:rPr>
                <w:rFonts w:ascii="Arial" w:hAnsi="Arial" w:cs="Arial"/>
                <w:szCs w:val="24"/>
              </w:rPr>
              <w:t>Some experience of leading</w:t>
            </w:r>
          </w:p>
        </w:tc>
      </w:tr>
      <w:tr>
        <w:tc>
          <w:tcPr>
            <w:tcW w:w="4261" w:type="dxa"/>
          </w:tcPr>
          <w:p>
            <w:pPr>
              <w:rPr>
                <w:rFonts w:ascii="Arial" w:hAnsi="Arial" w:cs="Arial"/>
                <w:szCs w:val="24"/>
                <w:highlight w:val="yellow"/>
              </w:rPr>
            </w:pPr>
            <w:r>
              <w:rPr>
                <w:rFonts w:ascii="Arial" w:hAnsi="Arial" w:cs="Arial"/>
                <w:szCs w:val="24"/>
              </w:rPr>
              <w:t>Be an outstanding teacher and A level Biology teacher</w:t>
            </w:r>
          </w:p>
        </w:tc>
        <w:tc>
          <w:tcPr>
            <w:tcW w:w="4261" w:type="dxa"/>
          </w:tcPr>
          <w:p>
            <w:pPr>
              <w:rPr>
                <w:rFonts w:ascii="Arial" w:hAnsi="Arial" w:cs="Arial"/>
                <w:szCs w:val="24"/>
              </w:rPr>
            </w:pPr>
            <w:r>
              <w:rPr>
                <w:rFonts w:ascii="Arial" w:hAnsi="Arial" w:cs="Arial"/>
                <w:szCs w:val="24"/>
              </w:rPr>
              <w:t>Experience of teaching CTEC science</w:t>
            </w:r>
          </w:p>
        </w:tc>
      </w:tr>
      <w:tr>
        <w:tc>
          <w:tcPr>
            <w:tcW w:w="4261" w:type="dxa"/>
          </w:tcPr>
          <w:p>
            <w:pPr>
              <w:rPr>
                <w:rFonts w:ascii="Arial" w:hAnsi="Arial" w:cs="Arial"/>
                <w:szCs w:val="24"/>
              </w:rPr>
            </w:pPr>
            <w:r>
              <w:rPr>
                <w:rFonts w:ascii="Arial" w:hAnsi="Arial" w:cs="Arial"/>
                <w:szCs w:val="24"/>
              </w:rPr>
              <w:t>Passionate about your subject</w:t>
            </w:r>
          </w:p>
        </w:tc>
        <w:tc>
          <w:tcPr>
            <w:tcW w:w="4261" w:type="dxa"/>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 xml:space="preserve">Enthusiastic and able to make teaching and learning in Science interesting and enjoyable </w:t>
            </w:r>
          </w:p>
        </w:tc>
        <w:tc>
          <w:tcPr>
            <w:tcW w:w="4261" w:type="dxa"/>
            <w:tcBorders>
              <w:bottom w:val="nil"/>
            </w:tcBorders>
          </w:tcPr>
          <w:p>
            <w:pPr>
              <w:rPr>
                <w:rFonts w:ascii="Arial" w:hAnsi="Arial" w:cs="Arial"/>
                <w:szCs w:val="24"/>
              </w:rPr>
            </w:pPr>
          </w:p>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Good knowledge of and confidence in the use of student Science data to be able to get  the best out of students at all levels of ability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comprehensive education and the entitlement of all students to succeed</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oversee and take the lead in developing the extensive extra-curricular program of the faculty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lead on devising suitable schemes of work</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work with Heads of Biology and physics to ensure consistency across subjects within science.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Motivate staff and build consistently high performing teams of chemists from both staff and students</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Excited by opportunities to learn from colleagues, and also to share your expertise with them</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lastRenderedPageBreak/>
              <w:t>Quality assure and evaluate faculty teaching practice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your own professional development</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the important role of form tutor</w:t>
            </w:r>
          </w:p>
        </w:tc>
        <w:tc>
          <w:tcPr>
            <w:tcW w:w="4261" w:type="dxa"/>
            <w:tcBorders>
              <w:bottom w:val="nil"/>
            </w:tcBorders>
          </w:tcPr>
          <w:p>
            <w:pPr>
              <w:rPr>
                <w:rFonts w:ascii="Arial" w:hAnsi="Arial" w:cs="Arial"/>
                <w:szCs w:val="24"/>
              </w:rPr>
            </w:pP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PERSONAL QUALITIES</w:t>
            </w:r>
          </w:p>
        </w:tc>
      </w:tr>
      <w:tr>
        <w:tc>
          <w:tcPr>
            <w:tcW w:w="4261" w:type="dxa"/>
          </w:tcPr>
          <w:p>
            <w:pPr>
              <w:rPr>
                <w:rFonts w:ascii="Arial" w:hAnsi="Arial" w:cs="Arial"/>
                <w:szCs w:val="24"/>
              </w:rPr>
            </w:pPr>
            <w:r>
              <w:rPr>
                <w:rFonts w:ascii="Arial" w:hAnsi="Arial" w:cs="Arial"/>
                <w:szCs w:val="24"/>
              </w:rPr>
              <w:t>Willingness to commit fully to extra-curricular life of the biology department and science faculty</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Be able to evidence the ability to inspire and motivate colleagues, working collaboratively across departments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actively support and contribute to the school’s ethos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 xml:space="preserve">Well organised and efficient </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 good team player</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Excellent communication and interpersonal skills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Approachable and flexible</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Sense of humour</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High personal standards – dress, conduct and presentation</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go ‘the extra mile’</w:t>
            </w:r>
          </w:p>
        </w:tc>
        <w:tc>
          <w:tcPr>
            <w:tcW w:w="4261" w:type="dxa"/>
          </w:tcPr>
          <w:p>
            <w:pPr>
              <w:rPr>
                <w:rFonts w:ascii="Arial" w:hAnsi="Arial" w:cs="Arial"/>
                <w:szCs w:val="24"/>
              </w:rPr>
            </w:pPr>
          </w:p>
        </w:tc>
      </w:tr>
    </w:tbl>
    <w:p>
      <w:pPr>
        <w:rPr>
          <w:lang w:eastAsia="en-GB"/>
        </w:rPr>
      </w:pPr>
    </w:p>
    <w:p>
      <w:pPr>
        <w:rPr>
          <w:lang w:eastAsia="en-GB"/>
        </w:rPr>
      </w:pPr>
      <w:r>
        <w:rPr>
          <w:lang w:eastAsia="en-GB"/>
        </w:rPr>
        <w:br w:type="page"/>
      </w:r>
    </w:p>
    <w:p>
      <w:pPr>
        <w:rPr>
          <w:lang w:eastAsia="en-GB"/>
        </w:rPr>
      </w:pPr>
      <w:r>
        <w:rPr>
          <w:lang w:eastAsia="en-GB"/>
        </w:rPr>
        <w:lastRenderedPageBreak/>
        <w:drawing>
          <wp:anchor distT="0" distB="0" distL="114300" distR="114300" simplePos="0" relativeHeight="251666432" behindDoc="1" locked="0" layoutInCell="1" allowOverlap="1">
            <wp:simplePos x="0" y="0"/>
            <wp:positionH relativeFrom="column">
              <wp:posOffset>5343525</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rPr>
          <w:rFonts w:ascii="Arial" w:eastAsia="Times New Roman" w:hAnsi="Arial" w:cs="Arial"/>
          <w:b/>
          <w:bCs/>
          <w:noProof w:val="0"/>
          <w:szCs w:val="24"/>
          <w:lang w:eastAsia="en-GB"/>
        </w:rPr>
      </w:pPr>
    </w:p>
    <w:p>
      <w:bookmarkStart w:id="0" w:name="_GoBack"/>
      <w:bookmarkEnd w:id="0"/>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highlight w:val="yellow"/>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FFFFFF"/>
          <w:sz w:val="32"/>
          <w:szCs w:val="32"/>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XSpec="center" w:tblpY="1387"/>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830"/>
      </w:tblGrid>
      <w:tr>
        <w:trPr>
          <w:trHeight w:val="420"/>
          <w:tblHeader/>
        </w:trPr>
        <w:tc>
          <w:tcPr>
            <w:tcW w:w="1951" w:type="dxa"/>
          </w:tcPr>
          <w:p>
            <w:pPr>
              <w:keepNext/>
              <w:spacing w:before="40" w:after="40"/>
              <w:jc w:val="center"/>
              <w:outlineLvl w:val="0"/>
              <w:rPr>
                <w:rFonts w:ascii="Arial" w:hAnsi="Arial" w:cs="Arial"/>
                <w:b/>
                <w:color w:val="000000"/>
                <w:kern w:val="32"/>
                <w:szCs w:val="24"/>
              </w:rPr>
            </w:pPr>
            <w:r>
              <w:rPr>
                <w:rFonts w:ascii="Arial" w:hAnsi="Arial" w:cs="Arial"/>
                <w:b/>
                <w:color w:val="000000"/>
                <w:kern w:val="32"/>
                <w:szCs w:val="24"/>
              </w:rPr>
              <w:t>AREA</w:t>
            </w:r>
          </w:p>
        </w:tc>
        <w:tc>
          <w:tcPr>
            <w:tcW w:w="7830" w:type="dxa"/>
          </w:tcPr>
          <w:p>
            <w:pPr>
              <w:keepNext/>
              <w:spacing w:before="40" w:after="40"/>
              <w:jc w:val="center"/>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and SLT link</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7830" w:type="dxa"/>
          </w:tcPr>
          <w:p>
            <w:pPr>
              <w:numPr>
                <w:ilvl w:val="0"/>
                <w:numId w:val="11"/>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 policies.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 making planned and effective use of all teaching and tutoring time.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Ensure students are fully prepared for external examinations.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Pastoral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11"/>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11"/>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pPr>
              <w:numPr>
                <w:ilvl w:val="0"/>
                <w:numId w:val="11"/>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Assessment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 monitoring of student assessment and keep  HOYs &amp; Form tutors informed about student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department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House systems.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 xml:space="preserve">Other </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or Headteacher</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Appendix B of the school’s Pay Policy.</w:t>
            </w:r>
          </w:p>
          <w:p>
            <w:pPr>
              <w:tabs>
                <w:tab w:val="left" w:pos="360"/>
              </w:tabs>
              <w:overflowPunct w:val="0"/>
              <w:autoSpaceDE w:val="0"/>
              <w:autoSpaceDN w:val="0"/>
              <w:adjustRightInd w:val="0"/>
              <w:spacing w:before="20"/>
              <w:textAlignment w:val="baseline"/>
              <w:rPr>
                <w:rFonts w:ascii="Arial" w:hAnsi="Arial" w:cs="Arial"/>
              </w:rPr>
            </w:pP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Specific TLR </w:t>
            </w:r>
            <w:r>
              <w:rPr>
                <w:rFonts w:ascii="Arial" w:hAnsi="Arial" w:cs="Arial"/>
                <w:b/>
                <w:kern w:val="32"/>
                <w:sz w:val="22"/>
                <w:szCs w:val="22"/>
              </w:rPr>
              <w:t>Responsibilities</w:t>
            </w:r>
          </w:p>
        </w:tc>
        <w:tc>
          <w:tcPr>
            <w:tcW w:w="7830" w:type="dxa"/>
          </w:tcPr>
          <w:p>
            <w:pPr>
              <w:rPr>
                <w:rFonts w:ascii="Arial" w:hAnsi="Arial" w:cs="Arial"/>
              </w:rPr>
            </w:pPr>
            <w:r>
              <w:rPr>
                <w:rFonts w:ascii="Arial" w:hAnsi="Arial" w:cs="Arial"/>
                <w:b/>
              </w:rPr>
              <w:t>Impact on educational progress beyond assigned students</w:t>
            </w:r>
            <w:r>
              <w:rPr>
                <w:rFonts w:ascii="Arial" w:hAnsi="Arial" w:cs="Arial"/>
              </w:rPr>
              <w:tab/>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responsible for leading and developing an ethos of improvement, team spirit and self-evaluation within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and monitor subject targets, within whole school targets.  Intervene and act as appropriate to ensure that subject and whole school targets are met.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Reflect on and evaluate the effectiveness of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students’ behaviour, taking action as appropriate, and ensure that teachers adhere to procedures of the school’s behaviour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an overview of parental contact, ensuring regular contact as needed.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Interrogate and use data to track individual student performance and progress, and that of specific groups of students, ensuring that students achieve at or beyond their target grades.</w:t>
            </w:r>
          </w:p>
          <w:p>
            <w:pPr>
              <w:rPr>
                <w:rFonts w:ascii="Arial" w:hAnsi="Arial" w:cs="Arial"/>
                <w:b/>
                <w:sz w:val="18"/>
                <w:szCs w:val="18"/>
              </w:rPr>
            </w:pPr>
          </w:p>
          <w:p>
            <w:pPr>
              <w:rPr>
                <w:rFonts w:ascii="Arial" w:hAnsi="Arial" w:cs="Arial"/>
                <w:b/>
              </w:rPr>
            </w:pPr>
            <w:r>
              <w:rPr>
                <w:rFonts w:ascii="Arial" w:hAnsi="Arial" w:cs="Arial"/>
                <w:b/>
              </w:rPr>
              <w:t>Lead, develop and enhance the teaching practice of others</w:t>
            </w:r>
          </w:p>
          <w:p>
            <w:pPr>
              <w:tabs>
                <w:tab w:val="left" w:pos="360"/>
              </w:tabs>
              <w:rPr>
                <w:rFonts w:ascii="Arial" w:hAnsi="Arial" w:cs="Arial"/>
                <w:b/>
                <w:sz w:val="18"/>
                <w:szCs w:val="18"/>
              </w:rPr>
            </w:pP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that schemes of learning are in place to ensure effective learning and teaching.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Use departmental meetings to share good practice, moderate and to cascade training.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Offer CPD to the subject team and across the school in an area of expertise.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Develop teaching strategies to engage all students and maximise their potential.</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Embrace ICT as a resource for teaching, as a motivational tool for students’ learning and to facilitate the progress of each student.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coach and support colleagues (including NQTs, ITTs, GTPs, OTTs).</w:t>
            </w:r>
          </w:p>
          <w:p>
            <w:pPr>
              <w:rPr>
                <w:rFonts w:ascii="Arial" w:hAnsi="Arial" w:cs="Arial"/>
                <w:sz w:val="18"/>
                <w:szCs w:val="18"/>
              </w:rPr>
            </w:pPr>
          </w:p>
          <w:p>
            <w:pPr>
              <w:tabs>
                <w:tab w:val="left" w:pos="360"/>
              </w:tabs>
              <w:rPr>
                <w:rFonts w:ascii="Arial" w:hAnsi="Arial" w:cs="Arial"/>
                <w:b/>
              </w:rPr>
            </w:pPr>
            <w:r>
              <w:rPr>
                <w:rFonts w:ascii="Arial" w:hAnsi="Arial" w:cs="Arial"/>
                <w:b/>
              </w:rPr>
              <w:t>Have accountability for leading, managing and developing a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motivate, support and develop all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Undertake rigorous and effective performance appraisal for the departmental team, in line with school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subject self-evaluation within a planned cycle of regular observation/feedback to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Update the Subject SEF as per school guidelines.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Identify subject development priorities and co-ordinate the writing and monitoring of the departmental action plan.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an agent for change, implementing whole school initiatives which support the raising of student attainment and achievement.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Lead innovation in learning by keeping abreast of subject developments, engaging with school-wide learning initiatives and leading these within the department.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Monitor subject and individual student targets and progress through assessment of planning, record keeping, marking, teaching progress, homework and assessment across the subject, maintaining a central record of baseline and subject assessment data and targets to monitor the progress of students and the effectiveness of the team.</w:t>
            </w:r>
            <w:r>
              <w:rPr>
                <w:rFonts w:ascii="Arial" w:hAnsi="Arial" w:cs="Arial"/>
              </w:rPr>
              <w:tab/>
              <w:t xml:space="preserve">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Conduct an annual review of the curriculum offered at all levels.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Lead rigorous and effective subject meetings – identify the purpose, circulate an agenda and minutes.</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reporting cycle, check the standard of teachers’ reports, review assessment data and co-ordinate follow-up across the subject.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student tracking session, review the outcomes and implement strategies as appropriate.</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Manage the delegated budget for the subject in order to effectively resource the curriculum.</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Participate in recruitment and retention of teaching staff for the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any other subject responsibilities, as directed by the Headteacher/SLT.</w:t>
            </w:r>
          </w:p>
          <w:p>
            <w:pPr>
              <w:tabs>
                <w:tab w:val="left" w:pos="360"/>
              </w:tabs>
              <w:spacing w:before="20" w:after="40"/>
              <w:rPr>
                <w:rFonts w:ascii="Arial" w:hAnsi="Arial" w:cs="Arial"/>
                <w:sz w:val="18"/>
                <w:szCs w:val="18"/>
              </w:rPr>
            </w:pPr>
          </w:p>
        </w:tc>
      </w:tr>
    </w:tbl>
    <w:p>
      <w:pPr>
        <w:autoSpaceDE w:val="0"/>
        <w:autoSpaceDN w:val="0"/>
        <w:adjustRightInd w:val="0"/>
        <w:jc w:val="both"/>
        <w:rPr>
          <w:rFonts w:ascii="Arial" w:hAnsi="Arial" w:cs="Arial"/>
          <w:color w:val="FFFFFF"/>
          <w:sz w:val="32"/>
          <w:szCs w:val="32"/>
        </w:rPr>
      </w:pPr>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9"/>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8"/>
  </w:num>
  <w:num w:numId="14">
    <w:abstractNumId w:val="1"/>
  </w:num>
  <w:num w:numId="15">
    <w:abstractNumId w:val="17"/>
  </w:num>
  <w:num w:numId="16">
    <w:abstractNumId w:val="12"/>
  </w:num>
  <w:num w:numId="17">
    <w:abstractNumId w:val="2"/>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89EF-E5D0-4F71-BFE5-4AD463E0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12117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2017-05-26T11:40:00Z</cp:lastPrinted>
  <dcterms:created xsi:type="dcterms:W3CDTF">2021-05-28T11:11:00Z</dcterms:created>
  <dcterms:modified xsi:type="dcterms:W3CDTF">2021-05-28T11:11:00Z</dcterms:modified>
</cp:coreProperties>
</file>