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476375" cy="5035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0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21"/>
        <w:rPr>
          <w:rFonts w:ascii="Gill Sans" w:eastAsia="Gill Sans" w:hAnsi="Gill Sans" w:cs="Gill Sans"/>
          <w:color w:val="000000"/>
          <w:sz w:val="40"/>
          <w:szCs w:val="40"/>
        </w:rPr>
      </w:pPr>
      <w:r>
        <w:rPr>
          <w:rFonts w:ascii="Gill Sans" w:eastAsia="Gill Sans" w:hAnsi="Gill Sans" w:cs="Gill Sans"/>
          <w:color w:val="000000"/>
          <w:sz w:val="40"/>
          <w:szCs w:val="40"/>
        </w:rPr>
        <w:t>Job Description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28"/>
        <w:rPr>
          <w:rFonts w:ascii="Gill Sans" w:eastAsia="Gill Sans" w:hAnsi="Gill Sans" w:cs="Gill Sans"/>
          <w:color w:val="000000"/>
          <w:sz w:val="28"/>
          <w:szCs w:val="28"/>
        </w:rPr>
      </w:pPr>
      <w:r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Job Title: 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Head of Department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58"/>
        <w:rPr>
          <w:rFonts w:ascii="Gill Sans" w:eastAsia="Gill Sans" w:hAnsi="Gill Sans" w:cs="Gill Sans"/>
          <w:color w:val="FF0000"/>
          <w:sz w:val="28"/>
          <w:szCs w:val="28"/>
        </w:rPr>
      </w:pPr>
      <w:r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Reporting to: </w:t>
      </w:r>
      <w:r>
        <w:rPr>
          <w:rFonts w:ascii="Gill Sans" w:eastAsia="Gill Sans" w:hAnsi="Gill Sans" w:cs="Gill Sans"/>
          <w:color w:val="000000"/>
          <w:sz w:val="28"/>
          <w:szCs w:val="28"/>
        </w:rPr>
        <w:t xml:space="preserve">Vice Principal </w:t>
      </w:r>
      <w:r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Grade: </w:t>
      </w:r>
      <w:r>
        <w:rPr>
          <w:rFonts w:ascii="Gill Sans" w:eastAsia="Gill Sans" w:hAnsi="Gill Sans" w:cs="Gill Sans"/>
          <w:color w:val="000000"/>
          <w:sz w:val="28"/>
          <w:szCs w:val="28"/>
        </w:rPr>
        <w:t>Leadership 1 to 5</w:t>
      </w:r>
      <w:bookmarkStart w:id="0" w:name="_GoBack"/>
      <w:bookmarkEnd w:id="0"/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11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Overall purpose of the post: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72" w:right="-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• Carrying out the professional duties of a teacher as circumstances may require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and  in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accordance with Academy policies, under the direction of the Principal .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72" w:right="-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• Communicating clear purpose and vision to the Department</w:t>
      </w:r>
      <w:r>
        <w:rPr>
          <w:rFonts w:ascii="Gill Sans" w:eastAsia="Gill Sans" w:hAnsi="Gill Sans" w:cs="Gill Sans"/>
          <w:sz w:val="24"/>
          <w:szCs w:val="24"/>
        </w:rPr>
        <w:t>.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72" w:right="-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• Contributing to the strategic d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evelopment of the Academy by implementing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whole  Academy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new initiatives, monitoring and reporting on key outcomes, to ensure the  Department/Faculty meets academic targets as well as meeting the requirements of  Every Child Matters.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29" w:right="-6" w:hanging="357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• Providing clear, co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hesive leadership and direction in Department/Faculty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and  motivating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teaching and support colleagues in developing innovative strategies to  enhance the quality of learning, teaching and achievement</w:t>
      </w:r>
      <w:r>
        <w:rPr>
          <w:rFonts w:ascii="Gill Sans" w:eastAsia="Gill Sans" w:hAnsi="Gill Sans" w:cs="Gill Sans"/>
          <w:sz w:val="24"/>
          <w:szCs w:val="24"/>
        </w:rPr>
        <w:t>.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19" w:hanging="347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• Promoting the achievement of high standards through effective teaching and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learning  within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subjects area(s), preparation, evaluation and action planning.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72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>• Modelling the vision and values of the Academ</w:t>
      </w:r>
      <w:r>
        <w:rPr>
          <w:rFonts w:ascii="Gill Sans" w:eastAsia="Gill Sans" w:hAnsi="Gill Sans" w:cs="Gill Sans"/>
          <w:sz w:val="24"/>
          <w:szCs w:val="24"/>
        </w:rPr>
        <w:t>y.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33" w:right="-1" w:hanging="36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• Implement the Department Development Plan/SEF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secure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continuous  improvement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and quality outcomes for all students.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33" w:right="-4" w:hanging="36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• Receiving and acting on feedback to build on the strengths and improve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personal  performance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within the Academy systems.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26" w:hanging="353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• Taking into account and constantly reviewing Academy contextual factors and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prior  attainment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when planning and teaching lessons.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72" w:right="-3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• Working in a cross-curricular way to support subjects across the Academy in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the  use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of active learning approaches to enr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ich curriculum and skills delivery.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72" w:right="-3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• Recognising, promoting and celebrating diversity.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8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Main duties and responsibilities: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8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Responsible for: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Line management of Department/Faculty staff.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All department/faculty resources and budget.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Supervision and progress of students in allocated classes.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29" w:right="-1" w:hanging="34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Supervision of work of any classroom support staff during times they are allocated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to  classes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8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lastRenderedPageBreak/>
        <w:t xml:space="preserve">Develop and sustain DEEP LEADERSHIP across the Academy through: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0" w:lineRule="auto"/>
        <w:ind w:left="726" w:hanging="34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develop and review syllabuses, resources, schemes of work, marking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policies,  assessment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and teaching and learning strategies in the department.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719" w:right="-2" w:hanging="33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oversee day-to-day management, control and operation of course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provision  within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the department, inclu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ding effective deployment of staff and physical resources.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actively monitor and follow up pupil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progress .</w:t>
      </w:r>
      <w:proofErr w:type="gramEnd"/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work with the Vice Principal to ensure that staff development needs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are  identified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and that appropriate programmes are designed to meet such needs.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be responsible for the efficient and effective deployment of the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Department's  support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staff.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19" w:hanging="33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T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o undertake Performance Management Review(s) and to act as reviewer for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a  group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of staff within the designated department.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26" w:right="-2" w:hanging="346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make appropriate arrangements for classes when staff are absent,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ensuring  appropriate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cover within the department, liaising w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ith the cover supervisor/relevant  staff to secure appropriate cover. 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29" w:hanging="34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participate in the interview process for teaching posts when required and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to  ensure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effective induction of new staff in line with school procedures.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730" w:right="-2" w:hanging="35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be responsible for the day-to-day management of staff within the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designated  department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and act as a positive role model.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19" w:right="-5" w:hanging="339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manage the available resources of staff, finance, space and equipment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efficiently  within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the limits, guidelines and procedur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es laid down; including deploying the  department budget.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1" w:lineRule="auto"/>
        <w:ind w:left="719" w:hanging="33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Maintain a departmental portfolio with evidence of departmental data, targets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and  trends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 w:right="144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Be aware of targets for raising attainment within the Academy context.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Lead on the development of the Department SEF.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 w:right="-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Champion best practice, demonstrating teaching skills and leadership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qualities  necessary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to command respect, and encourage commitment to raising standards.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 w:right="-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Identify and applaud areas of success for indi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vidual teachers and the Department.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 w:right="-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Help create an effective team by promoting collective approaches to problem-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solving  and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curricular development.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8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Develop and sustain DEEP LEARNING across the Academy through: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1" w:lineRule="auto"/>
        <w:ind w:left="729" w:right="-3" w:hanging="348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liaise with the Vice Principal to ensure the delivery of an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appropriate,  comprehensive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, high quality and cost-effective curriculum programme which  complements the Academy Development Plan.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29" w:hanging="34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be accountable for the development and delivery of the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D</w:t>
      </w:r>
      <w:r>
        <w:rPr>
          <w:rFonts w:ascii="Gill Sans" w:eastAsia="Gill Sans" w:hAnsi="Gill Sans" w:cs="Gill Sans"/>
          <w:color w:val="000000"/>
          <w:sz w:val="24"/>
          <w:szCs w:val="24"/>
        </w:rPr>
        <w:t>epartment’s  curriculum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2" w:lineRule="auto"/>
        <w:ind w:left="726" w:hanging="34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keep up to date with and respond to national developments in the subject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area  and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teaching practice and methodology.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1" w:lineRule="auto"/>
        <w:ind w:left="729" w:hanging="34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produce an annual examinations analysis and department review as part of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the  school’s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self-evaluation cycle.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29" w:right="-2" w:hanging="34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Help devise, implement and monitor </w:t>
      </w:r>
      <w:proofErr w:type="spellStart"/>
      <w:r>
        <w:rPr>
          <w:rFonts w:ascii="Gill Sans" w:eastAsia="Gill Sans" w:hAnsi="Gill Sans" w:cs="Gill Sans"/>
          <w:color w:val="000000"/>
          <w:sz w:val="24"/>
          <w:szCs w:val="24"/>
        </w:rPr>
        <w:t>SoW</w:t>
      </w:r>
      <w:proofErr w:type="spell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to ensure they focus on consistent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and  </w:t>
      </w:r>
      <w:r>
        <w:rPr>
          <w:rFonts w:ascii="Gill Sans" w:eastAsia="Gill Sans" w:hAnsi="Gill Sans" w:cs="Gill Sans"/>
          <w:color w:val="000000"/>
          <w:sz w:val="24"/>
          <w:szCs w:val="24"/>
        </w:rPr>
        <w:lastRenderedPageBreak/>
        <w:t>effective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learning and teaching to produce progression for al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l.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33" w:right="-5" w:hanging="353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Analyse and interpret data on students’ attainment and action plan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accordingly,  reviewing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with teachers their assessments of progress for classes, groups and  individuals.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29" w:hanging="34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Work to student targets and ensure that progress is tracked through a range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of  strategies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33" w:hanging="353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Take account and review Academy contextual factors and prior attainment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when  planning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and teaching lessons.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719" w:hanging="33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Reflect on the success of teaching strategies, individual lessons and </w:t>
      </w:r>
      <w:proofErr w:type="spellStart"/>
      <w:r>
        <w:rPr>
          <w:rFonts w:ascii="Gill Sans" w:eastAsia="Gill Sans" w:hAnsi="Gill Sans" w:cs="Gill Sans"/>
          <w:color w:val="000000"/>
          <w:sz w:val="24"/>
          <w:szCs w:val="24"/>
        </w:rPr>
        <w:t>SoW</w:t>
      </w:r>
      <w:proofErr w:type="spell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in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meeting  the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needs of students.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Apply current guidelines on effective learning and teaching.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28" w:hanging="34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Take part in coaching and mentoring programmes to support colleagues and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develop  own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practice.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Strive for outstanding lessons.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Deliver interactive lessons with students.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29" w:hanging="34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Provide good quality assessment using formative and summative methods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in  conjunction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with the Academy’s </w:t>
      </w:r>
      <w:proofErr w:type="spellStart"/>
      <w:r>
        <w:rPr>
          <w:rFonts w:ascii="Gill Sans" w:eastAsia="Gill Sans" w:hAnsi="Gill Sans" w:cs="Gill Sans"/>
          <w:color w:val="000000"/>
          <w:sz w:val="24"/>
          <w:szCs w:val="24"/>
        </w:rPr>
        <w:t>AfL</w:t>
      </w:r>
      <w:proofErr w:type="spell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policy.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18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Develop and sustain DEEP EXPERIENCE across the Academy through: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1" w:lineRule="auto"/>
        <w:ind w:left="719" w:hanging="33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establish the process of the setting of targets within the department and to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work  towards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their achievement.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2" w:lineRule="auto"/>
        <w:ind w:left="380" w:right="1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ensure that all members of the department are familiar with departmental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aims  and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objectives within the framework of the Academy Develop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ment Plan.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2" w:lineRule="auto"/>
        <w:ind w:left="380" w:right="1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disseminate information from </w:t>
      </w:r>
      <w:proofErr w:type="spellStart"/>
      <w:r>
        <w:rPr>
          <w:rFonts w:ascii="Gill Sans" w:eastAsia="Gill Sans" w:hAnsi="Gill Sans" w:cs="Gill Sans"/>
          <w:color w:val="000000"/>
          <w:sz w:val="24"/>
          <w:szCs w:val="24"/>
        </w:rPr>
        <w:t>HoF</w:t>
      </w:r>
      <w:proofErr w:type="spellEnd"/>
      <w:r>
        <w:rPr>
          <w:rFonts w:ascii="Gill Sans" w:eastAsia="Gill Sans" w:hAnsi="Gill Sans" w:cs="Gill Sans"/>
          <w:color w:val="000000"/>
          <w:sz w:val="24"/>
          <w:szCs w:val="24"/>
        </w:rPr>
        <w:t>/</w:t>
      </w:r>
      <w:proofErr w:type="spellStart"/>
      <w:r>
        <w:rPr>
          <w:rFonts w:ascii="Gill Sans" w:eastAsia="Gill Sans" w:hAnsi="Gill Sans" w:cs="Gill Sans"/>
          <w:color w:val="000000"/>
          <w:sz w:val="24"/>
          <w:szCs w:val="24"/>
        </w:rPr>
        <w:t>HoD</w:t>
      </w:r>
      <w:proofErr w:type="spell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meetings.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33" w:right="-1" w:hanging="353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ensure effective communication/consultation as appropriate with the parents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of  pupils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1" w:lineRule="auto"/>
        <w:ind w:left="726" w:hanging="34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liaise with partner schools, higher education, industry, examination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boards,  awarding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bodies and other relevant external bodies.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represent the department’s views and interests.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Be responsible for identifying and reporting issues and developing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solutions.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Develop communications and training with staff in Department/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Faculty  methodology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Develop use of ICT within the curriculum.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28" w:hanging="34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Provide means of gathering information for Self Evaluation: Student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Voice,  questionnaires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, </w:t>
      </w:r>
      <w:proofErr w:type="spellStart"/>
      <w:r>
        <w:rPr>
          <w:rFonts w:ascii="Gill Sans" w:eastAsia="Gill Sans" w:hAnsi="Gill Sans" w:cs="Gill Sans"/>
          <w:color w:val="000000"/>
          <w:sz w:val="24"/>
          <w:szCs w:val="24"/>
        </w:rPr>
        <w:t>view points</w:t>
      </w:r>
      <w:proofErr w:type="spell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of stakeholders, and use opportunities for co construction of the curriculum.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Take responsibility for co-ordination, planning and execution of Immers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ion Days.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Adapt lessons and identify next steps in response to evaluation of student progress.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Set effective homework and extension work to encourage and enliven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student  learning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Ensure differentiation and personalisation of learning for all stu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dents.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38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Be aware of the KS2 curriculum and the standards of progression and attainment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for  KS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3 students.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19" w:hanging="33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Co-ordinate displays with regards to events, opportunities and work which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promote  </w:t>
      </w:r>
      <w:r>
        <w:rPr>
          <w:rFonts w:ascii="Gill Sans" w:eastAsia="Gill Sans" w:hAnsi="Gill Sans" w:cs="Gill Sans"/>
          <w:color w:val="000000"/>
          <w:sz w:val="24"/>
          <w:szCs w:val="24"/>
        </w:rPr>
        <w:lastRenderedPageBreak/>
        <w:t>the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Department/Academy.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left="18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Develop and sustain DEEP SUPPORT across the Academy through: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1" w:lineRule="auto"/>
        <w:ind w:left="729" w:hanging="34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To comply with the Academy's Child Safeguarding Procedures and to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report  concerns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to the Designated Child Protection Officer.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19" w:hanging="33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>To ensure the Behaviour Management system is implemented in th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e department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so  that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effective learning can take place.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34" w:hanging="353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Take the leading role in upholding standards of behaviour and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classroom  management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within the classroom and the schools environment.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36" w:hanging="356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Through the role, develop systems which address the social health of students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to  raise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standards.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729" w:hanging="34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Promote the consistent and fair use of the Consequences system within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the  classroom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and the Academy environment.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29" w:right="1" w:hanging="34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Be the first line of contact for parents and carers concerns with regard to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their  child’s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performance and well-being.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38" w:right="-1" w:hanging="35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Perform the duties of a Vertical Mentor Tutor if required, including the provision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of  Information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, Advice and Guidance for students.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729" w:hanging="349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⮚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Ensure that the department supports the Academy’s implementation of all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current  statutory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requirements e.g. DDA, SEN, Child Protection, ECM.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2" w:lineRule="auto"/>
        <w:ind w:left="8" w:right="-5" w:hanging="4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This job description will be reviewed annually and may be subject to amendment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or  modification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at any time after consultation with the </w:t>
      </w:r>
      <w:proofErr w:type="spellStart"/>
      <w:r>
        <w:rPr>
          <w:rFonts w:ascii="Gill Sans" w:eastAsia="Gill Sans" w:hAnsi="Gill Sans" w:cs="Gill Sans"/>
          <w:color w:val="000000"/>
          <w:sz w:val="24"/>
          <w:szCs w:val="24"/>
        </w:rPr>
        <w:t>postholder</w:t>
      </w:r>
      <w:proofErr w:type="spell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. It is not a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comprehensive  statement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of procedures and tasks, but sets out the main expectations of the Acad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emy in  relation to the </w:t>
      </w:r>
      <w:proofErr w:type="spellStart"/>
      <w:r>
        <w:rPr>
          <w:rFonts w:ascii="Gill Sans" w:eastAsia="Gill Sans" w:hAnsi="Gill Sans" w:cs="Gill Sans"/>
          <w:color w:val="000000"/>
          <w:sz w:val="24"/>
          <w:szCs w:val="24"/>
        </w:rPr>
        <w:t>postholder’s</w:t>
      </w:r>
      <w:proofErr w:type="spell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professional responsibilities and duties. Elements of this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job  description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and changes to it may be agreed at the request of the Principal or the incumbent  of the post.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firstLine="4"/>
        <w:jc w:val="both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This post is subject to the current conditions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of employment for Class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Teachers  contained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in the School Teachers' Pay and Conditions Document, the 1998 School  Standards and Framework Act, the required standards for Qualified Teacher Status and  Class Teachers and other current legislation. This job d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escription should be read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in  conjunction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with 'Clarification notes on the exercise of professional duties for all  teachers, other than head teachers' contained at Appendix A.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right="16" w:firstLine="16"/>
        <w:rPr>
          <w:rFonts w:ascii="Gill Sans" w:eastAsia="Gill Sans" w:hAnsi="Gill Sans" w:cs="Gill Sans"/>
          <w:color w:val="000000"/>
          <w:sz w:val="24"/>
          <w:szCs w:val="24"/>
        </w:rPr>
      </w:pPr>
      <w:proofErr w:type="spellStart"/>
      <w:r>
        <w:rPr>
          <w:rFonts w:ascii="Gill Sans" w:eastAsia="Gill Sans" w:hAnsi="Gill Sans" w:cs="Gill Sans"/>
          <w:color w:val="000000"/>
          <w:sz w:val="24"/>
          <w:szCs w:val="24"/>
        </w:rPr>
        <w:t>Postholders</w:t>
      </w:r>
      <w:proofErr w:type="spell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will be expected to comply with any reasonable request for a senio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r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leaders  to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undertake work of a similar level that is not specified in the job description.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1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Special Features: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None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9"/>
        <w:rPr>
          <w:rFonts w:ascii="Gill Sans" w:eastAsia="Gill Sans" w:hAnsi="Gill Sans" w:cs="Gill Sans"/>
          <w:b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Personal Contacts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1" w:lineRule="auto"/>
        <w:ind w:left="6" w:firstLine="12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t xml:space="preserve">External: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Contractors, suppliers, parents, external agency professionals, other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government  and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local authority staff, other staff from academies and schools. </w:t>
      </w:r>
    </w:p>
    <w:p w:rsidR="001809EA" w:rsidRDefault="009568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1" w:lineRule="auto"/>
        <w:ind w:firstLine="18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</w:rPr>
        <w:lastRenderedPageBreak/>
        <w:t xml:space="preserve">Internal: 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Students, staff, Board and Academy Council members, parents and any </w:t>
      </w:r>
      <w:proofErr w:type="gramStart"/>
      <w:r>
        <w:rPr>
          <w:rFonts w:ascii="Gill Sans" w:eastAsia="Gill Sans" w:hAnsi="Gill Sans" w:cs="Gill Sans"/>
          <w:color w:val="000000"/>
          <w:sz w:val="24"/>
          <w:szCs w:val="24"/>
        </w:rPr>
        <w:t>other  visitors</w:t>
      </w:r>
      <w:proofErr w:type="gramEnd"/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to the Academy.</w:t>
      </w:r>
    </w:p>
    <w:sectPr w:rsidR="001809EA">
      <w:pgSz w:w="11900" w:h="16820"/>
      <w:pgMar w:top="979" w:right="1371" w:bottom="156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EA"/>
    <w:rsid w:val="001809EA"/>
    <w:rsid w:val="009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1A89"/>
  <w15:docId w15:val="{E21D0CDB-48C0-40FF-87CA-59A0CD26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8289</Characters>
  <Application>Microsoft Office Word</Application>
  <DocSecurity>0</DocSecurity>
  <Lines>69</Lines>
  <Paragraphs>19</Paragraphs>
  <ScaleCrop>false</ScaleCrop>
  <Company>Outwood Academy Redcar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2021-01-20T10:24:00Z</dcterms:created>
  <dcterms:modified xsi:type="dcterms:W3CDTF">2021-01-20T10:24:00Z</dcterms:modified>
</cp:coreProperties>
</file>