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0B" w:rsidRPr="00336C5B" w:rsidRDefault="007D0B64" w:rsidP="00146F0B">
      <w:pPr>
        <w:jc w:val="center"/>
        <w:rPr>
          <w:rFonts w:ascii="Tahoma" w:hAnsi="Tahoma" w:cs="Tahoma"/>
          <w:b/>
          <w:bCs/>
          <w:color w:val="0070C0"/>
        </w:rPr>
      </w:pPr>
      <w:bookmarkStart w:id="0" w:name="_Hlk63764122"/>
      <w:r w:rsidRPr="00336C5B">
        <w:rPr>
          <w:rFonts w:ascii="Tahoma" w:hAnsi="Tahoma" w:cs="Tahoma"/>
          <w:b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7C7CB654" wp14:editId="576BB53E">
            <wp:simplePos x="0" y="0"/>
            <wp:positionH relativeFrom="column">
              <wp:posOffset>5911320</wp:posOffset>
            </wp:positionH>
            <wp:positionV relativeFrom="paragraph">
              <wp:posOffset>-300805</wp:posOffset>
            </wp:positionV>
            <wp:extent cx="695325" cy="10382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rge shield 4 house logo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F0B" w:rsidRPr="00336C5B">
        <w:rPr>
          <w:rFonts w:ascii="Tahoma" w:hAnsi="Tahoma" w:cs="Tahoma"/>
          <w:b/>
          <w:bCs/>
          <w:color w:val="0070C0"/>
        </w:rPr>
        <w:t>Advert</w:t>
      </w:r>
    </w:p>
    <w:bookmarkEnd w:id="0"/>
    <w:p w:rsidR="00146F0B" w:rsidRDefault="00146F0B" w:rsidP="00146F0B">
      <w:pPr>
        <w:pStyle w:val="Heading2"/>
        <w:ind w:left="-180" w:right="-236"/>
        <w:rPr>
          <w:rFonts w:ascii="Tahoma" w:hAnsi="Tahoma" w:cs="Tahoma"/>
          <w:sz w:val="20"/>
          <w:szCs w:val="20"/>
        </w:rPr>
      </w:pPr>
    </w:p>
    <w:p w:rsidR="00146F0B" w:rsidRPr="00DC0EA6" w:rsidRDefault="00146F0B" w:rsidP="00146F0B">
      <w:pPr>
        <w:pStyle w:val="Heading2"/>
        <w:ind w:left="-180" w:right="-236"/>
        <w:rPr>
          <w:rFonts w:ascii="Tahoma" w:hAnsi="Tahoma" w:cs="Tahoma"/>
          <w:szCs w:val="24"/>
        </w:rPr>
      </w:pPr>
      <w:r w:rsidRPr="00DC0EA6">
        <w:rPr>
          <w:rFonts w:ascii="Tahoma" w:hAnsi="Tahoma" w:cs="Tahoma"/>
          <w:szCs w:val="24"/>
        </w:rPr>
        <w:t xml:space="preserve">FARRINGDON COMMUNITY ACADEMY </w:t>
      </w:r>
    </w:p>
    <w:p w:rsidR="00146F0B" w:rsidRPr="00DC0EA6" w:rsidRDefault="00146F0B" w:rsidP="00146F0B">
      <w:pPr>
        <w:autoSpaceDE w:val="0"/>
        <w:autoSpaceDN w:val="0"/>
        <w:adjustRightInd w:val="0"/>
        <w:ind w:left="-180" w:right="-236"/>
        <w:jc w:val="both"/>
        <w:rPr>
          <w:rFonts w:ascii="Tahoma" w:hAnsi="Tahoma" w:cs="Tahoma"/>
          <w:b/>
          <w:bCs/>
          <w:color w:val="000000"/>
        </w:rPr>
      </w:pPr>
      <w:r w:rsidRPr="00DC0EA6">
        <w:rPr>
          <w:rFonts w:ascii="Tahoma" w:hAnsi="Tahoma" w:cs="Tahoma"/>
          <w:b/>
          <w:bCs/>
          <w:color w:val="000000"/>
        </w:rPr>
        <w:t>Address</w:t>
      </w:r>
      <w:r>
        <w:rPr>
          <w:rFonts w:ascii="Tahoma" w:hAnsi="Tahoma" w:cs="Tahoma"/>
          <w:b/>
          <w:bCs/>
          <w:color w:val="000000"/>
        </w:rPr>
        <w:t xml:space="preserve">: </w:t>
      </w:r>
      <w:r w:rsidRPr="00DC0EA6">
        <w:rPr>
          <w:rFonts w:ascii="Tahoma" w:hAnsi="Tahoma" w:cs="Tahoma"/>
          <w:b/>
          <w:bCs/>
          <w:color w:val="000000"/>
        </w:rPr>
        <w:t>Allendale Road, Farringdon, Sunderland SR3 3EL</w:t>
      </w:r>
    </w:p>
    <w:p w:rsidR="00146F0B" w:rsidRPr="00DC0EA6" w:rsidRDefault="00146F0B" w:rsidP="00146F0B">
      <w:pPr>
        <w:autoSpaceDE w:val="0"/>
        <w:autoSpaceDN w:val="0"/>
        <w:adjustRightInd w:val="0"/>
        <w:ind w:left="-180" w:right="-236"/>
        <w:jc w:val="both"/>
        <w:rPr>
          <w:rFonts w:ascii="Tahoma" w:hAnsi="Tahoma" w:cs="Tahoma"/>
          <w:b/>
          <w:bCs/>
          <w:color w:val="000000"/>
        </w:rPr>
      </w:pPr>
      <w:r w:rsidRPr="00DC0EA6">
        <w:rPr>
          <w:rFonts w:ascii="Tahoma" w:hAnsi="Tahoma" w:cs="Tahoma"/>
          <w:b/>
          <w:bCs/>
          <w:color w:val="000000"/>
        </w:rPr>
        <w:t>Tel: (0191</w:t>
      </w:r>
      <w:proofErr w:type="gramStart"/>
      <w:r w:rsidRPr="00DC0EA6">
        <w:rPr>
          <w:rFonts w:ascii="Tahoma" w:hAnsi="Tahoma" w:cs="Tahoma"/>
          <w:b/>
          <w:bCs/>
          <w:color w:val="000000"/>
        </w:rPr>
        <w:t>)  917</w:t>
      </w:r>
      <w:proofErr w:type="gramEnd"/>
      <w:r w:rsidRPr="00DC0EA6">
        <w:rPr>
          <w:rFonts w:ascii="Tahoma" w:hAnsi="Tahoma" w:cs="Tahoma"/>
          <w:b/>
          <w:bCs/>
          <w:color w:val="000000"/>
        </w:rPr>
        <w:t xml:space="preserve"> 1500</w:t>
      </w:r>
    </w:p>
    <w:p w:rsidR="00146F0B" w:rsidRDefault="00146F0B" w:rsidP="00146F0B">
      <w:pPr>
        <w:autoSpaceDE w:val="0"/>
        <w:autoSpaceDN w:val="0"/>
        <w:adjustRightInd w:val="0"/>
        <w:ind w:left="-180" w:right="-236"/>
        <w:rPr>
          <w:rFonts w:ascii="Tahoma" w:hAnsi="Tahoma" w:cs="Tahoma"/>
          <w:b/>
          <w:bCs/>
          <w:color w:val="000000"/>
        </w:rPr>
      </w:pPr>
      <w:r w:rsidRPr="00DC0EA6">
        <w:rPr>
          <w:rFonts w:ascii="Tahoma" w:hAnsi="Tahoma" w:cs="Tahoma"/>
          <w:b/>
          <w:bCs/>
          <w:color w:val="000000"/>
        </w:rPr>
        <w:t xml:space="preserve">Email: </w:t>
      </w:r>
      <w:hyperlink r:id="rId6" w:history="1">
        <w:r w:rsidRPr="00DC0EA6">
          <w:rPr>
            <w:rStyle w:val="Hyperlink"/>
            <w:rFonts w:ascii="Tahoma" w:hAnsi="Tahoma" w:cs="Tahoma"/>
          </w:rPr>
          <w:t>enquiries@farringdonca.net</w:t>
        </w:r>
      </w:hyperlink>
      <w:r w:rsidRPr="00DC0EA6">
        <w:rPr>
          <w:rFonts w:ascii="Tahoma" w:hAnsi="Tahoma" w:cs="Tahoma"/>
        </w:rPr>
        <w:t xml:space="preserve"> </w:t>
      </w:r>
      <w:r w:rsidRPr="00DC0EA6">
        <w:rPr>
          <w:rFonts w:ascii="Tahoma" w:hAnsi="Tahoma" w:cs="Tahoma"/>
          <w:b/>
          <w:bCs/>
          <w:color w:val="000000"/>
        </w:rPr>
        <w:t xml:space="preserve">Web:  </w:t>
      </w:r>
      <w:hyperlink r:id="rId7" w:history="1">
        <w:r w:rsidRPr="00DC0EA6">
          <w:rPr>
            <w:rStyle w:val="Hyperlink"/>
            <w:rFonts w:ascii="Tahoma" w:hAnsi="Tahoma" w:cs="Tahoma"/>
          </w:rPr>
          <w:t>www.farringdonschool.co.uk</w:t>
        </w:r>
      </w:hyperlink>
      <w:r w:rsidRPr="00DC0EA6">
        <w:rPr>
          <w:rFonts w:ascii="Tahoma" w:hAnsi="Tahoma" w:cs="Tahoma"/>
          <w:b/>
          <w:bCs/>
          <w:color w:val="000000"/>
        </w:rPr>
        <w:t xml:space="preserve">      </w:t>
      </w:r>
    </w:p>
    <w:p w:rsidR="00146F0B" w:rsidRDefault="0097133C" w:rsidP="00146F0B">
      <w:pPr>
        <w:autoSpaceDE w:val="0"/>
        <w:autoSpaceDN w:val="0"/>
        <w:adjustRightInd w:val="0"/>
        <w:ind w:left="-180" w:right="-236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Acting Principal: Jordan Bedford </w:t>
      </w:r>
    </w:p>
    <w:p w:rsidR="00395A87" w:rsidRPr="00DC0EA6" w:rsidRDefault="00395A87" w:rsidP="00146F0B">
      <w:pPr>
        <w:autoSpaceDE w:val="0"/>
        <w:autoSpaceDN w:val="0"/>
        <w:adjustRightInd w:val="0"/>
        <w:ind w:left="-180" w:right="-236"/>
        <w:rPr>
          <w:rFonts w:ascii="Tahoma" w:hAnsi="Tahoma" w:cs="Tahoma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112"/>
        <w:tblW w:w="0" w:type="auto"/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1322"/>
        <w:gridCol w:w="2647"/>
      </w:tblGrid>
      <w:tr w:rsidR="00395A87" w:rsidRPr="0005764D" w:rsidTr="00395A87">
        <w:tc>
          <w:tcPr>
            <w:tcW w:w="2410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 w:rsidRPr="0005764D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513" w:type="dxa"/>
            <w:gridSpan w:val="3"/>
            <w:shd w:val="clear" w:color="auto" w:fill="F2F2F2" w:themeFill="background1" w:themeFillShade="F2"/>
          </w:tcPr>
          <w:p w:rsidR="00395A87" w:rsidRPr="0005764D" w:rsidRDefault="00395A87" w:rsidP="00C915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</w:t>
            </w:r>
            <w:r w:rsidR="00C915ED">
              <w:rPr>
                <w:rFonts w:ascii="Arial" w:hAnsi="Arial" w:cs="Arial"/>
              </w:rPr>
              <w:t>Mathematics</w:t>
            </w:r>
          </w:p>
        </w:tc>
      </w:tr>
      <w:tr w:rsidR="00395A87" w:rsidRPr="0005764D" w:rsidTr="00395A87">
        <w:tc>
          <w:tcPr>
            <w:tcW w:w="2410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 w:rsidRPr="0005764D">
              <w:rPr>
                <w:rFonts w:ascii="Arial" w:hAnsi="Arial" w:cs="Arial"/>
                <w:b/>
              </w:rPr>
              <w:t>Base:</w:t>
            </w:r>
          </w:p>
        </w:tc>
        <w:tc>
          <w:tcPr>
            <w:tcW w:w="7513" w:type="dxa"/>
            <w:gridSpan w:val="3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Farringdon Community Academy </w:t>
            </w:r>
          </w:p>
        </w:tc>
      </w:tr>
      <w:tr w:rsidR="00395A87" w:rsidRPr="0005764D" w:rsidTr="00395A87">
        <w:tc>
          <w:tcPr>
            <w:tcW w:w="2410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 w:rsidRPr="0005764D">
              <w:rPr>
                <w:rFonts w:ascii="Arial" w:hAnsi="Arial" w:cs="Arial"/>
                <w:b/>
              </w:rPr>
              <w:t>Reports to: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395A87" w:rsidRPr="005638F6" w:rsidRDefault="00395A87" w:rsidP="00395A87">
            <w:pPr>
              <w:pStyle w:val="NoSpacing"/>
              <w:rPr>
                <w:rFonts w:ascii="Arial" w:hAnsi="Arial" w:cs="Arial"/>
              </w:rPr>
            </w:pPr>
            <w:r w:rsidRPr="005638F6">
              <w:rPr>
                <w:rFonts w:ascii="Arial" w:hAnsi="Arial" w:cs="Arial"/>
              </w:rPr>
              <w:t xml:space="preserve">Nominated SLT </w:t>
            </w:r>
            <w:r>
              <w:rPr>
                <w:rFonts w:ascii="Arial" w:hAnsi="Arial" w:cs="Arial"/>
              </w:rPr>
              <w:t xml:space="preserve">Link </w:t>
            </w:r>
            <w:r w:rsidRPr="005638F6">
              <w:rPr>
                <w:rFonts w:ascii="Arial" w:hAnsi="Arial" w:cs="Arial"/>
              </w:rPr>
              <w:t>Member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  <w:r w:rsidRPr="000576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:rsidR="00395A87" w:rsidRPr="00C27935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 – L5</w:t>
            </w:r>
          </w:p>
        </w:tc>
      </w:tr>
      <w:tr w:rsidR="00395A87" w:rsidRPr="0005764D" w:rsidTr="00395A87">
        <w:tc>
          <w:tcPr>
            <w:tcW w:w="2410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 w:rsidRPr="0005764D">
              <w:rPr>
                <w:rFonts w:ascii="Arial" w:hAnsi="Arial" w:cs="Arial"/>
                <w:b/>
              </w:rPr>
              <w:t>Salary: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£44,305 - £48,895</w:t>
            </w:r>
          </w:p>
        </w:tc>
      </w:tr>
      <w:tr w:rsidR="00395A87" w:rsidRPr="0005764D" w:rsidTr="00395A87">
        <w:tc>
          <w:tcPr>
            <w:tcW w:w="2410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time </w:t>
            </w:r>
          </w:p>
        </w:tc>
        <w:tc>
          <w:tcPr>
            <w:tcW w:w="1322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Start date: </w:t>
            </w:r>
          </w:p>
        </w:tc>
        <w:tc>
          <w:tcPr>
            <w:tcW w:w="2647" w:type="dxa"/>
            <w:shd w:val="clear" w:color="auto" w:fill="F2F2F2" w:themeFill="background1" w:themeFillShade="F2"/>
          </w:tcPr>
          <w:p w:rsidR="00395A87" w:rsidRPr="0005764D" w:rsidRDefault="00395A87" w:rsidP="00395A8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2023</w:t>
            </w:r>
          </w:p>
        </w:tc>
      </w:tr>
    </w:tbl>
    <w:p w:rsidR="00146F0B" w:rsidRDefault="00146F0B" w:rsidP="00146F0B">
      <w:pPr>
        <w:jc w:val="both"/>
        <w:rPr>
          <w:rFonts w:ascii="Tahoma" w:hAnsi="Tahoma" w:cs="Tahoma"/>
          <w:b/>
          <w:bCs/>
          <w:color w:val="000000"/>
        </w:rPr>
      </w:pPr>
    </w:p>
    <w:p w:rsidR="00395A87" w:rsidRPr="00DC0EA6" w:rsidRDefault="00395A87" w:rsidP="00146F0B">
      <w:pPr>
        <w:jc w:val="both"/>
        <w:rPr>
          <w:rFonts w:ascii="Tahoma" w:hAnsi="Tahoma" w:cs="Tahoma"/>
          <w:b/>
          <w:bCs/>
          <w:color w:val="000000"/>
        </w:rPr>
      </w:pPr>
    </w:p>
    <w:p w:rsidR="00146F0B" w:rsidRDefault="00146F0B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Pr="00DC0EA6" w:rsidRDefault="00395A87" w:rsidP="00146F0B">
      <w:pPr>
        <w:ind w:left="-142" w:right="-236"/>
        <w:rPr>
          <w:rFonts w:ascii="Tahoma" w:hAnsi="Tahoma" w:cs="Tahoma"/>
          <w:b/>
        </w:rPr>
      </w:pPr>
    </w:p>
    <w:p w:rsidR="00395A87" w:rsidRPr="00395A87" w:rsidRDefault="0097133C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>
        <w:rPr>
          <w:rFonts w:ascii="Tahoma" w:hAnsi="Tahoma" w:cs="Tahoma"/>
          <w:color w:val="000000" w:themeColor="text1"/>
          <w:lang w:eastAsia="en-US"/>
        </w:rPr>
        <w:t>Farringdon Community</w:t>
      </w:r>
      <w:r w:rsidR="00C14F10">
        <w:rPr>
          <w:rFonts w:ascii="Tahoma" w:hAnsi="Tahoma" w:cs="Tahoma"/>
          <w:color w:val="000000" w:themeColor="text1"/>
          <w:lang w:eastAsia="en-US"/>
        </w:rPr>
        <w:t xml:space="preserve"> Academy (Supported</w:t>
      </w:r>
      <w:r>
        <w:rPr>
          <w:rFonts w:ascii="Tahoma" w:hAnsi="Tahoma" w:cs="Tahoma"/>
          <w:color w:val="000000" w:themeColor="text1"/>
          <w:lang w:eastAsia="en-US"/>
        </w:rPr>
        <w:t xml:space="preserve"> by Northern Education Trust)</w:t>
      </w:r>
      <w:r w:rsidRPr="0097133C">
        <w:rPr>
          <w:rFonts w:ascii="Tahoma" w:hAnsi="Tahoma" w:cs="Tahoma"/>
          <w:color w:val="000000" w:themeColor="text1"/>
          <w:lang w:eastAsia="en-US"/>
        </w:rPr>
        <w:t xml:space="preserve"> is seek</w:t>
      </w:r>
      <w:r w:rsidR="00395A87">
        <w:rPr>
          <w:rFonts w:ascii="Tahoma" w:hAnsi="Tahoma" w:cs="Tahoma"/>
          <w:color w:val="000000" w:themeColor="text1"/>
          <w:lang w:eastAsia="en-US"/>
        </w:rPr>
        <w:t>ing to appoint a Head of Maths</w:t>
      </w:r>
      <w:r w:rsidRPr="0097133C">
        <w:rPr>
          <w:rFonts w:ascii="Tahoma" w:hAnsi="Tahoma" w:cs="Tahoma"/>
          <w:color w:val="000000" w:themeColor="text1"/>
          <w:lang w:eastAsia="en-US"/>
        </w:rPr>
        <w:t xml:space="preserve">. The successful candidate will </w:t>
      </w:r>
      <w:r w:rsidR="00395A87" w:rsidRPr="00395A87">
        <w:rPr>
          <w:rFonts w:ascii="Tahoma" w:hAnsi="Tahoma" w:cs="Tahoma"/>
          <w:color w:val="000000" w:themeColor="text1"/>
          <w:lang w:eastAsia="en-US"/>
        </w:rPr>
        <w:t xml:space="preserve">inspire a team of teachers, model excellent practice and improve outcomes for all students across the curriculum.  As </w:t>
      </w:r>
      <w:r w:rsidR="00F1034B">
        <w:rPr>
          <w:rFonts w:ascii="Tahoma" w:hAnsi="Tahoma" w:cs="Tahoma"/>
          <w:color w:val="000000" w:themeColor="text1"/>
          <w:lang w:eastAsia="en-US"/>
        </w:rPr>
        <w:t>Head of Maths</w:t>
      </w:r>
      <w:r w:rsidR="00395A87" w:rsidRPr="00395A87">
        <w:rPr>
          <w:rFonts w:ascii="Tahoma" w:hAnsi="Tahoma" w:cs="Tahoma"/>
          <w:color w:val="000000" w:themeColor="text1"/>
          <w:lang w:eastAsia="en-US"/>
        </w:rPr>
        <w:t>, you will work closely with the Senior Leadership Team to support and drive raising standards in Mathematics and within the whole-school community.  The successful candidate will have: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Experience in leading a team to successful outcomes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Evidence of skills in improving and developing learning and coaching staff to improve performance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Confidence in using data to inform effective interventions and rapid progress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 xml:space="preserve">An outstanding teaching </w:t>
      </w:r>
      <w:proofErr w:type="gramStart"/>
      <w:r w:rsidRPr="00395A87">
        <w:rPr>
          <w:rFonts w:ascii="Tahoma" w:hAnsi="Tahoma" w:cs="Tahoma"/>
          <w:color w:val="000000" w:themeColor="text1"/>
          <w:lang w:eastAsia="en-US"/>
        </w:rPr>
        <w:t>track record</w:t>
      </w:r>
      <w:proofErr w:type="gramEnd"/>
      <w:r w:rsidRPr="00395A87">
        <w:rPr>
          <w:rFonts w:ascii="Tahoma" w:hAnsi="Tahoma" w:cs="Tahoma"/>
          <w:color w:val="000000" w:themeColor="text1"/>
          <w:lang w:eastAsia="en-US"/>
        </w:rPr>
        <w:t xml:space="preserve"> supported by successful student outcomes 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A passion to be innovative, forward thinking and generate enthusiasm for Mathematics with all students.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Experience in, and an understanding of the importance of monitoring, evaluation and quality assurance</w:t>
      </w:r>
    </w:p>
    <w:p w:rsidR="00395A87" w:rsidRPr="00395A87" w:rsidRDefault="00395A87" w:rsidP="00395A87">
      <w:pPr>
        <w:pStyle w:val="Default"/>
        <w:ind w:left="-142"/>
        <w:jc w:val="both"/>
        <w:rPr>
          <w:rFonts w:ascii="Tahoma" w:hAnsi="Tahoma" w:cs="Tahoma"/>
          <w:color w:val="000000" w:themeColor="text1"/>
          <w:lang w:eastAsia="en-US"/>
        </w:rPr>
      </w:pPr>
      <w:r w:rsidRPr="00395A87">
        <w:rPr>
          <w:rFonts w:ascii="Tahoma" w:hAnsi="Tahoma" w:cs="Tahoma"/>
          <w:color w:val="000000" w:themeColor="text1"/>
          <w:lang w:eastAsia="en-US"/>
        </w:rPr>
        <w:t>•</w:t>
      </w:r>
      <w:r w:rsidRPr="00395A87">
        <w:rPr>
          <w:rFonts w:ascii="Tahoma" w:hAnsi="Tahoma" w:cs="Tahoma"/>
          <w:color w:val="000000" w:themeColor="text1"/>
          <w:lang w:eastAsia="en-US"/>
        </w:rPr>
        <w:tab/>
        <w:t>A view that the progress of every child in Mathematics is their responsibility and that every child in Mathematics should achieve beyond expectations.</w:t>
      </w:r>
    </w:p>
    <w:p w:rsidR="00395A87" w:rsidRPr="0097133C" w:rsidRDefault="00395A87" w:rsidP="00DD028E">
      <w:pPr>
        <w:pStyle w:val="Default"/>
        <w:jc w:val="both"/>
        <w:rPr>
          <w:rFonts w:ascii="Tahoma" w:hAnsi="Tahoma" w:cs="Tahoma"/>
          <w:color w:val="000000" w:themeColor="text1"/>
          <w:lang w:eastAsia="en-US"/>
        </w:rPr>
      </w:pPr>
    </w:p>
    <w:p w:rsidR="00146F0B" w:rsidRPr="00DC0EA6" w:rsidRDefault="00146F0B" w:rsidP="0097133C">
      <w:pPr>
        <w:ind w:left="-142" w:right="-236"/>
        <w:jc w:val="both"/>
        <w:rPr>
          <w:rFonts w:ascii="Tahoma" w:hAnsi="Tahoma" w:cs="Tahoma"/>
        </w:rPr>
      </w:pPr>
      <w:r w:rsidRPr="00DC0EA6">
        <w:rPr>
          <w:rFonts w:ascii="Tahoma" w:hAnsi="Tahoma" w:cs="Tahoma"/>
        </w:rPr>
        <w:t>Please note that we do not accept CVs.  We encourage candidates to take a look at our website</w:t>
      </w:r>
      <w:r w:rsidR="0097133C">
        <w:rPr>
          <w:rFonts w:ascii="Tahoma" w:hAnsi="Tahoma" w:cs="Tahoma"/>
        </w:rPr>
        <w:t>,</w:t>
      </w:r>
      <w:r w:rsidRPr="00DC0EA6">
        <w:rPr>
          <w:rFonts w:ascii="Tahoma" w:hAnsi="Tahoma" w:cs="Tahoma"/>
        </w:rPr>
        <w:t xml:space="preserve"> therefore</w:t>
      </w:r>
      <w:r w:rsidR="0097133C">
        <w:rPr>
          <w:rFonts w:ascii="Tahoma" w:hAnsi="Tahoma" w:cs="Tahoma"/>
        </w:rPr>
        <w:t>,</w:t>
      </w:r>
      <w:r w:rsidRPr="00DC0EA6">
        <w:rPr>
          <w:rFonts w:ascii="Tahoma" w:hAnsi="Tahoma" w:cs="Tahoma"/>
        </w:rPr>
        <w:t xml:space="preserve"> all the application documents relating to the post are on </w:t>
      </w:r>
      <w:hyperlink r:id="rId8" w:history="1">
        <w:r w:rsidRPr="00DC0EA6">
          <w:rPr>
            <w:rStyle w:val="Hyperlink"/>
            <w:rFonts w:ascii="Tahoma" w:hAnsi="Tahoma" w:cs="Tahoma"/>
          </w:rPr>
          <w:t>www.farringdonschool.co.uk</w:t>
        </w:r>
      </w:hyperlink>
      <w:r w:rsidRPr="00DC0EA6">
        <w:rPr>
          <w:rFonts w:ascii="Tahoma" w:hAnsi="Tahoma" w:cs="Tahoma"/>
        </w:rPr>
        <w:t xml:space="preserve"> </w:t>
      </w:r>
    </w:p>
    <w:p w:rsidR="00146F0B" w:rsidRPr="00DC0EA6" w:rsidRDefault="00146F0B" w:rsidP="00146F0B">
      <w:pPr>
        <w:pStyle w:val="PlainText"/>
        <w:ind w:left="-142" w:right="-286"/>
        <w:jc w:val="both"/>
        <w:rPr>
          <w:rFonts w:ascii="Tahoma" w:hAnsi="Tahoma" w:cs="Tahoma"/>
          <w:sz w:val="24"/>
          <w:szCs w:val="24"/>
        </w:rPr>
      </w:pPr>
    </w:p>
    <w:p w:rsidR="00146F0B" w:rsidRPr="00DC0EA6" w:rsidRDefault="00146F0B" w:rsidP="00146F0B">
      <w:pPr>
        <w:autoSpaceDE w:val="0"/>
        <w:autoSpaceDN w:val="0"/>
        <w:adjustRightInd w:val="0"/>
        <w:ind w:left="-142" w:right="-236"/>
        <w:jc w:val="both"/>
        <w:rPr>
          <w:rFonts w:ascii="Tahoma" w:hAnsi="Tahoma" w:cs="Tahoma"/>
          <w:color w:val="000000"/>
        </w:rPr>
      </w:pPr>
      <w:r w:rsidRPr="00DC0EA6">
        <w:rPr>
          <w:rFonts w:ascii="Tahoma" w:hAnsi="Tahoma" w:cs="Tahoma"/>
        </w:rPr>
        <w:t xml:space="preserve">Completed </w:t>
      </w:r>
      <w:r w:rsidR="00E775B5">
        <w:rPr>
          <w:rFonts w:ascii="Tahoma" w:hAnsi="Tahoma" w:cs="Tahoma"/>
        </w:rPr>
        <w:t xml:space="preserve">support staff </w:t>
      </w:r>
      <w:r w:rsidRPr="00DC0EA6">
        <w:rPr>
          <w:rFonts w:ascii="Tahoma" w:hAnsi="Tahoma" w:cs="Tahoma"/>
        </w:rPr>
        <w:t>application</w:t>
      </w:r>
      <w:r w:rsidR="00E775B5">
        <w:rPr>
          <w:rFonts w:ascii="Tahoma" w:hAnsi="Tahoma" w:cs="Tahoma"/>
        </w:rPr>
        <w:t xml:space="preserve"> form</w:t>
      </w:r>
      <w:r w:rsidR="0097133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proofErr w:type="gramStart"/>
      <w:r w:rsidRPr="00DC0EA6">
        <w:rPr>
          <w:rFonts w:ascii="Tahoma" w:hAnsi="Tahoma" w:cs="Tahoma"/>
        </w:rPr>
        <w:t>should be returned</w:t>
      </w:r>
      <w:proofErr w:type="gramEnd"/>
      <w:r w:rsidRPr="00DC0EA6">
        <w:rPr>
          <w:rFonts w:ascii="Tahoma" w:hAnsi="Tahoma" w:cs="Tahoma"/>
        </w:rPr>
        <w:t xml:space="preserve"> to </w:t>
      </w:r>
      <w:hyperlink r:id="rId9" w:history="1">
        <w:r w:rsidRPr="00DC0EA6">
          <w:rPr>
            <w:rStyle w:val="Hyperlink"/>
            <w:rFonts w:ascii="Tahoma" w:hAnsi="Tahoma" w:cs="Tahoma"/>
          </w:rPr>
          <w:t>andrea.parker@farringdonca.net</w:t>
        </w:r>
      </w:hyperlink>
      <w:r w:rsidRPr="00DC0EA6">
        <w:rPr>
          <w:rFonts w:ascii="Tahoma" w:hAnsi="Tahoma" w:cs="Tahoma"/>
        </w:rPr>
        <w:t xml:space="preserve"> Applications that arrive after the closing time/date will not go through to the shortlisting process.  </w:t>
      </w:r>
    </w:p>
    <w:p w:rsidR="00146F0B" w:rsidRPr="00DC0EA6" w:rsidRDefault="00146F0B" w:rsidP="00146F0B">
      <w:pPr>
        <w:ind w:left="-142" w:right="-236"/>
        <w:rPr>
          <w:rFonts w:ascii="Tahoma" w:hAnsi="Tahoma" w:cs="Tahoma"/>
        </w:rPr>
      </w:pPr>
    </w:p>
    <w:p w:rsidR="00146F0B" w:rsidRDefault="00CD086B" w:rsidP="00146F0B">
      <w:pPr>
        <w:ind w:left="-180" w:right="-236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Farringdon Community Academy</w:t>
      </w:r>
      <w:r w:rsidRPr="00CD086B">
        <w:rPr>
          <w:rFonts w:ascii="Tahoma" w:hAnsi="Tahoma" w:cs="Tahoma"/>
          <w:bCs/>
        </w:rPr>
        <w:t xml:space="preserve"> is fully committed to safeguarding and promoting the welfare of children and young people and expects all staff and volunteers to share in this commitment. As part of our due diligence</w:t>
      </w:r>
      <w:r>
        <w:rPr>
          <w:rFonts w:ascii="Tahoma" w:hAnsi="Tahoma" w:cs="Tahoma"/>
          <w:bCs/>
        </w:rPr>
        <w:t>,</w:t>
      </w:r>
      <w:r w:rsidRPr="00CD086B">
        <w:rPr>
          <w:rFonts w:ascii="Tahoma" w:hAnsi="Tahoma" w:cs="Tahoma"/>
          <w:bCs/>
        </w:rPr>
        <w:t xml:space="preserve"> and to comply with our obligations in line with Keeping Children Safe in Education</w:t>
      </w:r>
      <w:r>
        <w:rPr>
          <w:rFonts w:ascii="Tahoma" w:hAnsi="Tahoma" w:cs="Tahoma"/>
          <w:bCs/>
        </w:rPr>
        <w:t xml:space="preserve"> protocol</w:t>
      </w:r>
      <w:r w:rsidRPr="00CD086B">
        <w:rPr>
          <w:rFonts w:ascii="Tahoma" w:hAnsi="Tahoma" w:cs="Tahoma"/>
          <w:bCs/>
        </w:rPr>
        <w:t xml:space="preserve">, an online search of publicly available information </w:t>
      </w:r>
      <w:proofErr w:type="gramStart"/>
      <w:r w:rsidRPr="00CD086B">
        <w:rPr>
          <w:rFonts w:ascii="Tahoma" w:hAnsi="Tahoma" w:cs="Tahoma"/>
          <w:bCs/>
        </w:rPr>
        <w:t>will be undertaken</w:t>
      </w:r>
      <w:proofErr w:type="gramEnd"/>
      <w:r w:rsidRPr="00CD086B">
        <w:rPr>
          <w:rFonts w:ascii="Tahoma" w:hAnsi="Tahoma" w:cs="Tahoma"/>
          <w:bCs/>
        </w:rPr>
        <w:t xml:space="preserve"> for all shortlisted candidates. The successful applicant will be subject to provide an enhanced DBS disclosure.</w:t>
      </w:r>
    </w:p>
    <w:p w:rsidR="00CD086B" w:rsidRPr="00DC0EA6" w:rsidRDefault="00CD086B" w:rsidP="00146F0B">
      <w:pPr>
        <w:ind w:left="-180" w:right="-236"/>
        <w:rPr>
          <w:rFonts w:ascii="Tahoma" w:hAnsi="Tahoma" w:cs="Tahoma"/>
          <w:bCs/>
        </w:rPr>
      </w:pPr>
    </w:p>
    <w:p w:rsidR="00146F0B" w:rsidRDefault="00146F0B" w:rsidP="00CD086B">
      <w:pPr>
        <w:ind w:right="-236"/>
        <w:rPr>
          <w:rFonts w:ascii="Tahoma" w:hAnsi="Tahoma" w:cs="Tahoma"/>
          <w:b/>
          <w:bCs/>
        </w:rPr>
      </w:pPr>
      <w:r w:rsidRPr="00DC0EA6">
        <w:rPr>
          <w:rFonts w:ascii="Tahoma" w:hAnsi="Tahoma" w:cs="Tahoma"/>
          <w:b/>
          <w:bCs/>
        </w:rPr>
        <w:t>Closing Date:</w:t>
      </w:r>
      <w:r>
        <w:rPr>
          <w:rFonts w:ascii="Tahoma" w:hAnsi="Tahoma" w:cs="Tahoma"/>
          <w:b/>
          <w:bCs/>
        </w:rPr>
        <w:t xml:space="preserve"> </w:t>
      </w:r>
      <w:r w:rsidR="00CD086B">
        <w:rPr>
          <w:rFonts w:ascii="Tahoma" w:hAnsi="Tahoma" w:cs="Tahoma"/>
          <w:b/>
          <w:bCs/>
        </w:rPr>
        <w:t xml:space="preserve">12 noon on </w:t>
      </w:r>
      <w:r w:rsidR="00C915ED">
        <w:rPr>
          <w:rFonts w:ascii="Tahoma" w:hAnsi="Tahoma" w:cs="Tahoma"/>
          <w:b/>
          <w:bCs/>
        </w:rPr>
        <w:t>Thursday 20</w:t>
      </w:r>
      <w:r w:rsidR="00C915ED" w:rsidRPr="00C915ED">
        <w:rPr>
          <w:rFonts w:ascii="Tahoma" w:hAnsi="Tahoma" w:cs="Tahoma"/>
          <w:b/>
          <w:bCs/>
          <w:vertAlign w:val="superscript"/>
        </w:rPr>
        <w:t>th</w:t>
      </w:r>
      <w:r w:rsidR="00C915ED">
        <w:rPr>
          <w:rFonts w:ascii="Tahoma" w:hAnsi="Tahoma" w:cs="Tahoma"/>
          <w:b/>
          <w:bCs/>
        </w:rPr>
        <w:t xml:space="preserve"> April 2023</w:t>
      </w:r>
    </w:p>
    <w:p w:rsidR="00DD028E" w:rsidRDefault="00DD028E" w:rsidP="00CD086B">
      <w:pPr>
        <w:ind w:right="-236"/>
        <w:rPr>
          <w:rFonts w:ascii="Tahoma" w:hAnsi="Tahoma" w:cs="Tahoma"/>
          <w:bCs/>
        </w:rPr>
      </w:pPr>
    </w:p>
    <w:p w:rsidR="00AC62C8" w:rsidRDefault="00C915ED" w:rsidP="00402D1E">
      <w:r>
        <w:rPr>
          <w:rFonts w:ascii="Tahoma" w:hAnsi="Tahoma" w:cs="Tahoma"/>
          <w:b/>
          <w:bCs/>
        </w:rPr>
        <w:t>Interview Date: W/b 01/05/2023</w:t>
      </w:r>
      <w:r w:rsidR="00F707AC">
        <w:rPr>
          <w:rFonts w:ascii="Tahoma" w:hAnsi="Tahoma" w:cs="Tahoma"/>
          <w:b/>
          <w:bCs/>
        </w:rPr>
        <w:t xml:space="preserve"> </w:t>
      </w:r>
      <w:bookmarkStart w:id="1" w:name="_GoBack"/>
      <w:bookmarkEnd w:id="1"/>
    </w:p>
    <w:sectPr w:rsidR="00AC62C8" w:rsidSect="00CD086B">
      <w:pgSz w:w="11906" w:h="16838"/>
      <w:pgMar w:top="709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3278"/>
    <w:multiLevelType w:val="hybridMultilevel"/>
    <w:tmpl w:val="E97CEEA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9456DC3"/>
    <w:multiLevelType w:val="hybridMultilevel"/>
    <w:tmpl w:val="973AF4E4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0B"/>
    <w:rsid w:val="00000291"/>
    <w:rsid w:val="000D10B7"/>
    <w:rsid w:val="00146F0B"/>
    <w:rsid w:val="00216151"/>
    <w:rsid w:val="00336C5B"/>
    <w:rsid w:val="00395A87"/>
    <w:rsid w:val="00402D1E"/>
    <w:rsid w:val="004E4C0F"/>
    <w:rsid w:val="005210B1"/>
    <w:rsid w:val="00637E54"/>
    <w:rsid w:val="007D0B64"/>
    <w:rsid w:val="007D4BAE"/>
    <w:rsid w:val="0087558A"/>
    <w:rsid w:val="008C429A"/>
    <w:rsid w:val="0097133C"/>
    <w:rsid w:val="00AC62C8"/>
    <w:rsid w:val="00C14F10"/>
    <w:rsid w:val="00C915ED"/>
    <w:rsid w:val="00CD086B"/>
    <w:rsid w:val="00D77AA2"/>
    <w:rsid w:val="00DD028E"/>
    <w:rsid w:val="00E7256D"/>
    <w:rsid w:val="00E775B5"/>
    <w:rsid w:val="00F1034B"/>
    <w:rsid w:val="00F7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AD5B"/>
  <w15:chartTrackingRefBased/>
  <w15:docId w15:val="{9E69D526-508D-430E-9E13-1B763FFF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0B"/>
    <w:pPr>
      <w:spacing w:after="0" w:line="240" w:lineRule="auto"/>
    </w:pPr>
    <w:rPr>
      <w:rFonts w:ascii="Lucida Sans" w:eastAsia="Times New Roman" w:hAnsi="Lucida San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6F0B"/>
    <w:pPr>
      <w:keepNext/>
      <w:autoSpaceDE w:val="0"/>
      <w:autoSpaceDN w:val="0"/>
      <w:adjustRightInd w:val="0"/>
      <w:ind w:left="540"/>
      <w:jc w:val="both"/>
      <w:outlineLvl w:val="1"/>
    </w:pPr>
    <w:rPr>
      <w:rFonts w:ascii="Arial" w:hAnsi="Arial" w:cs="Arial"/>
      <w:b/>
      <w:bCs/>
      <w:color w:val="000000"/>
      <w:szCs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F0B"/>
    <w:rPr>
      <w:rFonts w:ascii="Arial" w:eastAsia="Times New Roman" w:hAnsi="Arial" w:cs="Arial"/>
      <w:b/>
      <w:bCs/>
      <w:color w:val="000000"/>
      <w:sz w:val="24"/>
      <w:szCs w:val="52"/>
      <w:u w:val="single"/>
    </w:rPr>
  </w:style>
  <w:style w:type="character" w:styleId="Hyperlink">
    <w:name w:val="Hyperlink"/>
    <w:basedOn w:val="DefaultParagraphFont"/>
    <w:rsid w:val="00146F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F0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46F0B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6F0B"/>
    <w:rPr>
      <w:rFonts w:ascii="Consolas" w:hAnsi="Consolas"/>
      <w:sz w:val="21"/>
      <w:szCs w:val="21"/>
      <w:lang w:val="en-US"/>
    </w:rPr>
  </w:style>
  <w:style w:type="paragraph" w:styleId="BodyTextIndent">
    <w:name w:val="Body Text Indent"/>
    <w:basedOn w:val="Normal"/>
    <w:link w:val="BodyTextIndentChar"/>
    <w:rsid w:val="00216151"/>
    <w:pPr>
      <w:widowControl w:val="0"/>
      <w:ind w:left="2880"/>
      <w:jc w:val="both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rsid w:val="0021615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9713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5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rringdonschoo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rringdonschoo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farringdonca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.parker@farringdonc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Farringdon Community Academy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!STAFF A Parker</dc:creator>
  <cp:keywords/>
  <dc:description/>
  <cp:lastModifiedBy>!STAFF A Parker</cp:lastModifiedBy>
  <cp:revision>3</cp:revision>
  <cp:lastPrinted>2023-02-03T12:41:00Z</cp:lastPrinted>
  <dcterms:created xsi:type="dcterms:W3CDTF">2023-03-13T14:24:00Z</dcterms:created>
  <dcterms:modified xsi:type="dcterms:W3CDTF">2023-03-13T14:41:00Z</dcterms:modified>
</cp:coreProperties>
</file>