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120"/>
        <w:jc w:val="both"/>
        <w:rPr>
          <w:rFonts w:ascii="Arial" w:hAnsi="Arial" w:cs="Arial"/>
          <w:b/>
          <w:sz w:val="28"/>
        </w:rPr>
      </w:pPr>
      <w:bookmarkStart w:id="0" w:name="_GoBack"/>
      <w:bookmarkEnd w:id="0"/>
      <w:r>
        <w:rPr>
          <w:rFonts w:ascii="Arial" w:hAnsi="Arial" w:cs="Arial"/>
          <w:b/>
          <w:sz w:val="28"/>
        </w:rPr>
        <w:t>Faculty and subject information - The Carlton Academy</w:t>
      </w:r>
    </w:p>
    <w:tbl>
      <w:tblPr>
        <w:tblStyle w:val="TableGrid"/>
        <w:tblW w:w="9776" w:type="dxa"/>
        <w:tblLook w:val="04A0" w:firstRow="1" w:lastRow="0" w:firstColumn="1" w:lastColumn="0" w:noHBand="0" w:noVBand="1"/>
      </w:tblPr>
      <w:tblGrid>
        <w:gridCol w:w="4025"/>
        <w:gridCol w:w="5751"/>
      </w:tblGrid>
      <w:tr>
        <w:tc>
          <w:tcPr>
            <w:tcW w:w="4025" w:type="dxa"/>
            <w:vAlign w:val="center"/>
          </w:tcPr>
          <w:p>
            <w:pPr>
              <w:pStyle w:val="Heading1"/>
              <w:spacing w:before="60" w:after="60"/>
              <w:outlineLvl w:val="0"/>
              <w:rPr>
                <w:rFonts w:ascii="Arial" w:hAnsi="Arial" w:cs="Arial"/>
                <w:sz w:val="24"/>
                <w:szCs w:val="24"/>
              </w:rPr>
            </w:pPr>
            <w:r>
              <w:rPr>
                <w:rFonts w:ascii="Arial" w:hAnsi="Arial" w:cs="Arial"/>
                <w:sz w:val="24"/>
                <w:szCs w:val="24"/>
              </w:rPr>
              <w:t>Faculty</w:t>
            </w:r>
          </w:p>
        </w:tc>
        <w:tc>
          <w:tcPr>
            <w:tcW w:w="5751" w:type="dxa"/>
            <w:vAlign w:val="center"/>
          </w:tcPr>
          <w:p>
            <w:pPr>
              <w:spacing w:before="100" w:beforeAutospacing="1" w:after="100" w:afterAutospacing="1"/>
              <w:outlineLvl w:val="1"/>
              <w:rPr>
                <w:rFonts w:ascii="Times New Roman" w:eastAsia="Times New Roman" w:hAnsi="Times New Roman" w:cs="Times New Roman"/>
                <w:bCs/>
                <w:kern w:val="36"/>
                <w:lang w:eastAsia="en-GB"/>
              </w:rPr>
            </w:pPr>
            <w:r>
              <w:rPr>
                <w:rFonts w:ascii="Arial" w:eastAsia="Times New Roman" w:hAnsi="Arial" w:cs="Arial"/>
                <w:bCs/>
                <w:kern w:val="36"/>
                <w:lang w:eastAsia="en-GB"/>
              </w:rPr>
              <w:t>English &amp; Media</w:t>
            </w:r>
          </w:p>
        </w:tc>
      </w:tr>
      <w:tr>
        <w:tc>
          <w:tcPr>
            <w:tcW w:w="4025" w:type="dxa"/>
            <w:vAlign w:val="center"/>
          </w:tcPr>
          <w:p>
            <w:pPr>
              <w:pStyle w:val="Heading1"/>
              <w:spacing w:before="60" w:after="60"/>
              <w:outlineLvl w:val="0"/>
              <w:rPr>
                <w:rFonts w:ascii="Arial" w:hAnsi="Arial" w:cs="Arial"/>
                <w:sz w:val="24"/>
                <w:szCs w:val="24"/>
              </w:rPr>
            </w:pPr>
            <w:r>
              <w:rPr>
                <w:rFonts w:ascii="Arial" w:hAnsi="Arial" w:cs="Arial"/>
                <w:sz w:val="24"/>
                <w:szCs w:val="24"/>
              </w:rPr>
              <w:t>Head of Faculty / Department</w:t>
            </w:r>
          </w:p>
        </w:tc>
        <w:tc>
          <w:tcPr>
            <w:tcW w:w="5751" w:type="dxa"/>
            <w:vAlign w:val="center"/>
          </w:tcPr>
          <w:p>
            <w:pPr>
              <w:spacing w:before="100" w:beforeAutospacing="1" w:after="100" w:afterAutospacing="1"/>
              <w:outlineLvl w:val="1"/>
              <w:rPr>
                <w:rFonts w:ascii="Times New Roman" w:eastAsia="Times New Roman" w:hAnsi="Times New Roman" w:cs="Times New Roman"/>
                <w:bCs/>
                <w:kern w:val="36"/>
                <w:lang w:eastAsia="en-GB"/>
              </w:rPr>
            </w:pPr>
            <w:r>
              <w:rPr>
                <w:rFonts w:ascii="Arial" w:eastAsia="Times New Roman" w:hAnsi="Arial" w:cs="Arial"/>
                <w:bCs/>
                <w:kern w:val="36"/>
                <w:lang w:eastAsia="en-GB"/>
              </w:rPr>
              <w:t>Marie Sharpe</w:t>
            </w:r>
          </w:p>
        </w:tc>
      </w:tr>
      <w:tr>
        <w:tc>
          <w:tcPr>
            <w:tcW w:w="4025" w:type="dxa"/>
            <w:vAlign w:val="center"/>
          </w:tcPr>
          <w:p>
            <w:pPr>
              <w:pStyle w:val="Heading1"/>
              <w:spacing w:before="60" w:after="60"/>
              <w:outlineLvl w:val="0"/>
              <w:rPr>
                <w:rFonts w:ascii="Arial" w:hAnsi="Arial" w:cs="Arial"/>
                <w:sz w:val="24"/>
                <w:szCs w:val="24"/>
              </w:rPr>
            </w:pPr>
            <w:r>
              <w:rPr>
                <w:rFonts w:ascii="Arial" w:hAnsi="Arial" w:cs="Arial"/>
                <w:sz w:val="24"/>
                <w:szCs w:val="24"/>
              </w:rPr>
              <w:t>Email contact address:</w:t>
            </w:r>
          </w:p>
        </w:tc>
        <w:tc>
          <w:tcPr>
            <w:tcW w:w="5751" w:type="dxa"/>
            <w:vAlign w:val="center"/>
          </w:tcPr>
          <w:p>
            <w:pPr>
              <w:spacing w:before="100" w:beforeAutospacing="1" w:after="100" w:afterAutospacing="1"/>
              <w:outlineLvl w:val="1"/>
              <w:rPr>
                <w:rFonts w:ascii="Times New Roman" w:eastAsia="Times New Roman" w:hAnsi="Times New Roman" w:cs="Times New Roman"/>
                <w:bCs/>
                <w:kern w:val="36"/>
                <w:lang w:eastAsia="en-GB"/>
              </w:rPr>
            </w:pPr>
            <w:r>
              <w:rPr>
                <w:rFonts w:ascii="Arial" w:eastAsia="Times New Roman" w:hAnsi="Arial" w:cs="Arial"/>
                <w:bCs/>
                <w:kern w:val="36"/>
                <w:lang w:eastAsia="en-GB"/>
              </w:rPr>
              <w:t>m.sharpe@theacademycarlton.org</w:t>
            </w:r>
          </w:p>
        </w:tc>
      </w:tr>
    </w:tbl>
    <w:p>
      <w:pPr>
        <w:spacing w:before="60" w:after="60"/>
        <w:jc w:val="both"/>
        <w:rPr>
          <w:rFonts w:ascii="Arial" w:hAnsi="Arial" w:cs="Arial"/>
          <w:b/>
          <w:sz w:val="8"/>
        </w:rPr>
      </w:pPr>
    </w:p>
    <w:p>
      <w:pPr>
        <w:spacing w:after="120"/>
        <w:jc w:val="both"/>
        <w:rPr>
          <w:rFonts w:ascii="Arial" w:hAnsi="Arial" w:cs="Arial"/>
          <w:b/>
          <w:sz w:val="28"/>
        </w:rPr>
      </w:pPr>
      <w:r>
        <w:rPr>
          <w:rFonts w:ascii="Arial" w:hAnsi="Arial" w:cs="Arial"/>
          <w:b/>
          <w:sz w:val="28"/>
        </w:rPr>
        <w:t>Overview of the Faculty / Department</w:t>
      </w:r>
    </w:p>
    <w:tbl>
      <w:tblPr>
        <w:tblStyle w:val="TableGrid"/>
        <w:tblW w:w="9776" w:type="dxa"/>
        <w:tblLook w:val="04A0" w:firstRow="1" w:lastRow="0" w:firstColumn="1" w:lastColumn="0" w:noHBand="0" w:noVBand="1"/>
      </w:tblPr>
      <w:tblGrid>
        <w:gridCol w:w="9776"/>
      </w:tblGrid>
      <w:tr>
        <w:tc>
          <w:tcPr>
            <w:tcW w:w="9776" w:type="dxa"/>
          </w:tcPr>
          <w:p>
            <w:pPr>
              <w:spacing w:before="60" w:after="60"/>
              <w:jc w:val="both"/>
              <w:rPr>
                <w:rFonts w:ascii="Arial" w:hAnsi="Arial" w:cs="Arial"/>
                <w:b/>
                <w:sz w:val="24"/>
              </w:rPr>
            </w:pPr>
            <w:r>
              <w:rPr>
                <w:rFonts w:ascii="Arial" w:hAnsi="Arial" w:cs="Arial"/>
                <w:b/>
                <w:sz w:val="24"/>
              </w:rPr>
              <w:t>Outcomes</w:t>
            </w:r>
          </w:p>
        </w:tc>
      </w:tr>
      <w:tr>
        <w:tc>
          <w:tcPr>
            <w:tcW w:w="9776" w:type="dxa"/>
          </w:tcPr>
          <w:p>
            <w:pPr>
              <w:widowControl w:val="0"/>
              <w:autoSpaceDE w:val="0"/>
              <w:autoSpaceDN w:val="0"/>
              <w:spacing w:before="60" w:after="60"/>
              <w:jc w:val="both"/>
              <w:rPr>
                <w:rFonts w:ascii="Arial"/>
                <w:color w:val="000000"/>
                <w:sz w:val="21"/>
                <w:szCs w:val="21"/>
              </w:rPr>
            </w:pPr>
            <w:r>
              <w:rPr>
                <w:rFonts w:ascii="Arial" w:eastAsia="Times New Roman" w:hAnsi="Arial" w:cs="Arial"/>
                <w:sz w:val="21"/>
                <w:szCs w:val="21"/>
                <w:lang w:eastAsia="en-GB"/>
              </w:rPr>
              <w:t>Outcomes for all students have continued to rise both across the academy and within our subject area. The team is focused on ensuring that we continue this very positive trend and continue to recruit more pupils into Key Stage 5 courses in our subject area. Further information on our achievements and progress can be provided to candidates who are invited for interview or by making contact with the subject leader.</w:t>
            </w:r>
          </w:p>
        </w:tc>
      </w:tr>
    </w:tbl>
    <w:p>
      <w:pPr>
        <w:jc w:val="both"/>
        <w:rPr>
          <w:rFonts w:ascii="Arial" w:hAnsi="Arial" w:cs="Arial"/>
          <w:b/>
          <w:sz w:val="2"/>
        </w:rPr>
      </w:pPr>
    </w:p>
    <w:tbl>
      <w:tblPr>
        <w:tblStyle w:val="TableGrid"/>
        <w:tblW w:w="9776" w:type="dxa"/>
        <w:tblLook w:val="04A0" w:firstRow="1" w:lastRow="0" w:firstColumn="1" w:lastColumn="0" w:noHBand="0" w:noVBand="1"/>
      </w:tblPr>
      <w:tblGrid>
        <w:gridCol w:w="9776"/>
      </w:tblGrid>
      <w:tr>
        <w:tc>
          <w:tcPr>
            <w:tcW w:w="9776" w:type="dxa"/>
          </w:tcPr>
          <w:p>
            <w:pPr>
              <w:spacing w:before="60" w:after="60"/>
              <w:jc w:val="both"/>
              <w:rPr>
                <w:rFonts w:ascii="Arial" w:hAnsi="Arial" w:cs="Arial"/>
                <w:b/>
                <w:sz w:val="24"/>
              </w:rPr>
            </w:pPr>
            <w:r>
              <w:rPr>
                <w:rFonts w:ascii="Arial" w:hAnsi="Arial" w:cs="Arial"/>
                <w:b/>
                <w:sz w:val="24"/>
              </w:rPr>
              <w:t>Facilities</w:t>
            </w:r>
          </w:p>
        </w:tc>
      </w:tr>
      <w:tr>
        <w:tc>
          <w:tcPr>
            <w:tcW w:w="9776" w:type="dxa"/>
          </w:tcPr>
          <w:p>
            <w:pPr>
              <w:widowControl w:val="0"/>
              <w:autoSpaceDE w:val="0"/>
              <w:autoSpaceDN w:val="0"/>
              <w:spacing w:before="60" w:after="60"/>
              <w:jc w:val="both"/>
              <w:rPr>
                <w:rFonts w:ascii="Arial"/>
                <w:color w:val="000000"/>
                <w:spacing w:val="-2"/>
                <w:sz w:val="21"/>
                <w:szCs w:val="21"/>
              </w:rPr>
            </w:pPr>
            <w:r>
              <w:rPr>
                <w:rFonts w:ascii="Arial" w:eastAsia="Times New Roman" w:hAnsi="Arial" w:cs="Arial"/>
                <w:sz w:val="21"/>
                <w:szCs w:val="21"/>
                <w:lang w:eastAsia="en-GB"/>
              </w:rPr>
              <w:t>We benefit from very well maintained and purpose-built accommodation with high levels of access to ICT facilities. All classrooms are suited together to help provide an ethos of collaboration and support for all colleagues. The academy has continued to invest in our facilities and receives good levels of funding from the Redhill Trust to ensure we remain well-resourced and work in facilities that the staff and students can thrive within.</w:t>
            </w:r>
          </w:p>
        </w:tc>
      </w:tr>
    </w:tbl>
    <w:p>
      <w:pPr>
        <w:jc w:val="both"/>
        <w:rPr>
          <w:rFonts w:ascii="Arial" w:hAnsi="Arial" w:cs="Arial"/>
          <w:b/>
          <w:sz w:val="2"/>
        </w:rPr>
      </w:pPr>
    </w:p>
    <w:tbl>
      <w:tblPr>
        <w:tblStyle w:val="TableGrid"/>
        <w:tblW w:w="9776" w:type="dxa"/>
        <w:tblLook w:val="04A0" w:firstRow="1" w:lastRow="0" w:firstColumn="1" w:lastColumn="0" w:noHBand="0" w:noVBand="1"/>
      </w:tblPr>
      <w:tblGrid>
        <w:gridCol w:w="9776"/>
      </w:tblGrid>
      <w:tr>
        <w:tc>
          <w:tcPr>
            <w:tcW w:w="9776" w:type="dxa"/>
          </w:tcPr>
          <w:p>
            <w:pPr>
              <w:spacing w:before="60" w:after="60"/>
              <w:jc w:val="both"/>
              <w:rPr>
                <w:rFonts w:ascii="Arial" w:hAnsi="Arial" w:cs="Arial"/>
                <w:b/>
                <w:bCs/>
                <w:sz w:val="24"/>
                <w:szCs w:val="24"/>
              </w:rPr>
            </w:pPr>
            <w:r>
              <w:rPr>
                <w:rFonts w:ascii="Arial" w:hAnsi="Arial" w:cs="Arial"/>
                <w:b/>
                <w:bCs/>
                <w:sz w:val="24"/>
                <w:szCs w:val="24"/>
              </w:rPr>
              <w:t>Curriculum</w:t>
            </w:r>
          </w:p>
        </w:tc>
      </w:tr>
      <w:tr>
        <w:tc>
          <w:tcPr>
            <w:tcW w:w="9776" w:type="dxa"/>
          </w:tcPr>
          <w:p>
            <w:r>
              <w:rPr>
                <w:rFonts w:ascii="Arial" w:eastAsia="Times New Roman" w:hAnsi="Arial" w:cs="Arial"/>
                <w:sz w:val="21"/>
                <w:szCs w:val="21"/>
                <w:lang w:eastAsia="en-GB"/>
              </w:rPr>
              <w:t xml:space="preserve">The Media curriculum is taught at KS4 and KS5, where we currently follow the AQA GCSE Award in Media Production during KS4 and AQA A Level Media at Key Stage 5. We have also integrated media units into the KS3 English curriculum to raise the profile of the subject with students and to support and enhance elements of the teaching of the English curriculum, where students are also taught a variety of key skills in preparation for the GCSE examinations at KS4. The KS4 and KS5 courses have been successful options for students and there is the opportunity to continue to enhance the curriculum and numbers. For GCSE English, students study Shakespeare, poetry and themed units that encourage them to engage with creative writing and reading non-fiction, with assessments marked and targets set, using our Trust banding criteria. In Years 10 and 11 students will follow the AQA GCSE English Language and English Literature specifications.  Year 10 have four lessons per week and year 11 students have five lessons a week. All students will follow a course of study that covers a range of literary and non-fiction texts in order to prepare them for the examinations.  Students will sit the English Language and English Literature examinations at the end of Year 11. We currently offer a two-year linear course for OCR Literature A-level.  </w:t>
            </w:r>
          </w:p>
        </w:tc>
      </w:tr>
    </w:tbl>
    <w:p>
      <w:pPr>
        <w:jc w:val="both"/>
        <w:rPr>
          <w:rFonts w:ascii="Arial" w:hAnsi="Arial" w:cs="Arial"/>
          <w:b/>
          <w:sz w:val="2"/>
        </w:rPr>
      </w:pPr>
    </w:p>
    <w:tbl>
      <w:tblPr>
        <w:tblStyle w:val="TableGrid"/>
        <w:tblW w:w="9776" w:type="dxa"/>
        <w:tblLook w:val="04A0" w:firstRow="1" w:lastRow="0" w:firstColumn="1" w:lastColumn="0" w:noHBand="0" w:noVBand="1"/>
      </w:tblPr>
      <w:tblGrid>
        <w:gridCol w:w="9776"/>
      </w:tblGrid>
      <w:tr>
        <w:tc>
          <w:tcPr>
            <w:tcW w:w="9776" w:type="dxa"/>
          </w:tcPr>
          <w:p>
            <w:pPr>
              <w:spacing w:before="60" w:after="60"/>
              <w:jc w:val="both"/>
              <w:rPr>
                <w:rFonts w:ascii="Arial" w:hAnsi="Arial" w:cs="Arial"/>
                <w:b/>
                <w:sz w:val="28"/>
              </w:rPr>
            </w:pPr>
            <w:r>
              <w:rPr>
                <w:rFonts w:ascii="Arial" w:hAnsi="Arial" w:cs="Arial"/>
                <w:b/>
                <w:sz w:val="28"/>
              </w:rPr>
              <w:t>Network and CPD offer</w:t>
            </w:r>
          </w:p>
        </w:tc>
      </w:tr>
      <w:tr>
        <w:tc>
          <w:tcPr>
            <w:tcW w:w="9776" w:type="dxa"/>
          </w:tcPr>
          <w:p>
            <w:pPr>
              <w:widowControl w:val="0"/>
              <w:autoSpaceDE w:val="0"/>
              <w:autoSpaceDN w:val="0"/>
              <w:spacing w:before="60" w:after="60"/>
              <w:rPr>
                <w:rFonts w:ascii="Arial"/>
                <w:color w:val="000000"/>
                <w:spacing w:val="-2"/>
              </w:rPr>
            </w:pPr>
            <w:r>
              <w:rPr>
                <w:rFonts w:ascii="Arial" w:eastAsia="Times New Roman" w:hAnsi="Arial" w:cs="Arial"/>
                <w:sz w:val="21"/>
                <w:szCs w:val="21"/>
                <w:lang w:eastAsia="en-GB"/>
              </w:rPr>
              <w:t>We benefit from and contribute to the wide CPD offer in the academy and also the Trust subject networks. Working in partnership with other subject leaders and teachers provides us with the opportunity to share expertise and ensure we are continually able to reflect and further improve all that we do in order to raise the achievement of students.</w:t>
            </w:r>
          </w:p>
        </w:tc>
      </w:tr>
    </w:tbl>
    <w:p>
      <w:pPr>
        <w:jc w:val="both"/>
        <w:rPr>
          <w:rFonts w:ascii="Arial" w:hAnsi="Arial" w:cs="Arial"/>
          <w:b/>
          <w:sz w:val="8"/>
        </w:rPr>
      </w:pPr>
    </w:p>
    <w:tbl>
      <w:tblPr>
        <w:tblStyle w:val="TableGrid"/>
        <w:tblW w:w="9776" w:type="dxa"/>
        <w:tblLook w:val="04A0" w:firstRow="1" w:lastRow="0" w:firstColumn="1" w:lastColumn="0" w:noHBand="0" w:noVBand="1"/>
      </w:tblPr>
      <w:tblGrid>
        <w:gridCol w:w="9776"/>
      </w:tblGrid>
      <w:tr>
        <w:tc>
          <w:tcPr>
            <w:tcW w:w="9776" w:type="dxa"/>
          </w:tcPr>
          <w:p>
            <w:pPr>
              <w:jc w:val="both"/>
              <w:rPr>
                <w:rFonts w:ascii="Arial" w:hAnsi="Arial" w:cs="Arial"/>
                <w:b/>
                <w:sz w:val="28"/>
              </w:rPr>
            </w:pPr>
            <w:r>
              <w:rPr>
                <w:rFonts w:ascii="Arial" w:hAnsi="Arial" w:cs="Arial"/>
                <w:b/>
                <w:sz w:val="28"/>
              </w:rPr>
              <w:t>Enrichment</w:t>
            </w:r>
          </w:p>
        </w:tc>
      </w:tr>
      <w:tr>
        <w:tc>
          <w:tcPr>
            <w:tcW w:w="9776" w:type="dxa"/>
          </w:tcPr>
          <w:p>
            <w:pPr>
              <w:widowControl w:val="0"/>
              <w:autoSpaceDE w:val="0"/>
              <w:autoSpaceDN w:val="0"/>
              <w:spacing w:before="60" w:after="60"/>
              <w:jc w:val="both"/>
            </w:pPr>
            <w:r>
              <w:rPr>
                <w:rFonts w:ascii="Arial" w:eastAsia="Times New Roman" w:hAnsi="Arial" w:cs="Arial"/>
                <w:sz w:val="21"/>
                <w:szCs w:val="21"/>
                <w:lang w:eastAsia="en-GB"/>
              </w:rPr>
              <w:t>A variety of enrichment activities take place throughout the year including theatre trips, World Book Day, competitions, clubs and visits to universities.</w:t>
            </w:r>
          </w:p>
        </w:tc>
      </w:tr>
    </w:tbl>
    <w:p>
      <w:pPr>
        <w:jc w:val="both"/>
        <w:rPr>
          <w:rFonts w:ascii="Arial" w:hAnsi="Arial" w:cs="Arial"/>
          <w:b/>
          <w:sz w:val="4"/>
        </w:rPr>
      </w:pPr>
    </w:p>
    <w:sectPr>
      <w:headerReference w:type="default" r:id="rId10"/>
      <w:footerReference w:type="default" r:id="rId11"/>
      <w:pgSz w:w="11906" w:h="16838"/>
      <w:pgMar w:top="1134"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rPr>
        <w:noProof/>
        <w:lang w:eastAsia="en-GB"/>
      </w:rPr>
      <w:drawing>
        <wp:anchor distT="0" distB="0" distL="114300" distR="114300" simplePos="0" relativeHeight="251661312" behindDoc="1" locked="0" layoutInCell="1" allowOverlap="1">
          <wp:simplePos x="0" y="0"/>
          <wp:positionH relativeFrom="page">
            <wp:align>right</wp:align>
          </wp:positionH>
          <wp:positionV relativeFrom="paragraph">
            <wp:posOffset>-530225</wp:posOffset>
          </wp:positionV>
          <wp:extent cx="7549200" cy="113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Carlton Letterhead.png"/>
                  <pic:cNvPicPr/>
                </pic:nvPicPr>
                <pic:blipFill rotWithShape="1">
                  <a:blip r:embed="rId1" cstate="print">
                    <a:extLst>
                      <a:ext uri="{28A0092B-C50C-407E-A947-70E740481C1C}">
                        <a14:useLocalDpi xmlns:a14="http://schemas.microsoft.com/office/drawing/2010/main" val="0"/>
                      </a:ext>
                    </a:extLst>
                  </a:blip>
                  <a:srcRect t="89412" b="-2"/>
                  <a:stretch/>
                </pic:blipFill>
                <pic:spPr bwMode="auto">
                  <a:xfrm>
                    <a:off x="0" y="0"/>
                    <a:ext cx="7549200" cy="113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rPr>
        <w:sz w:val="10"/>
      </w:rPr>
    </w:pPr>
    <w:r>
      <w:rPr>
        <w:noProof/>
        <w:sz w:val="10"/>
        <w:lang w:eastAsia="en-GB"/>
      </w:rPr>
      <w:drawing>
        <wp:anchor distT="0" distB="0" distL="114300" distR="114300" simplePos="0" relativeHeight="251663360" behindDoc="0" locked="0" layoutInCell="1" allowOverlap="1">
          <wp:simplePos x="0" y="0"/>
          <wp:positionH relativeFrom="column">
            <wp:posOffset>5667375</wp:posOffset>
          </wp:positionH>
          <wp:positionV relativeFrom="paragraph">
            <wp:posOffset>-314960</wp:posOffset>
          </wp:positionV>
          <wp:extent cx="522000" cy="8388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e-calton-academy-LOGO.png"/>
                  <pic:cNvPicPr/>
                </pic:nvPicPr>
                <pic:blipFill>
                  <a:blip r:embed="rId1">
                    <a:extLst>
                      <a:ext uri="{28A0092B-C50C-407E-A947-70E740481C1C}">
                        <a14:useLocalDpi xmlns:a14="http://schemas.microsoft.com/office/drawing/2010/main" val="0"/>
                      </a:ext>
                    </a:extLst>
                  </a:blip>
                  <a:stretch>
                    <a:fillRect/>
                  </a:stretch>
                </pic:blipFill>
                <pic:spPr>
                  <a:xfrm>
                    <a:off x="0" y="0"/>
                    <a:ext cx="522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F3502"/>
    <w:multiLevelType w:val="hybridMultilevel"/>
    <w:tmpl w:val="A6E897D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67836917"/>
    <w:multiLevelType w:val="multilevel"/>
    <w:tmpl w:val="B52C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79FF4F6-3707-45E9-9435-D38E5984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228970">
      <w:bodyDiv w:val="1"/>
      <w:marLeft w:val="0"/>
      <w:marRight w:val="0"/>
      <w:marTop w:val="0"/>
      <w:marBottom w:val="0"/>
      <w:divBdr>
        <w:top w:val="none" w:sz="0" w:space="0" w:color="auto"/>
        <w:left w:val="none" w:sz="0" w:space="0" w:color="auto"/>
        <w:bottom w:val="none" w:sz="0" w:space="0" w:color="auto"/>
        <w:right w:val="none" w:sz="0" w:space="0" w:color="auto"/>
      </w:divBdr>
      <w:divsChild>
        <w:div w:id="1643121343">
          <w:marLeft w:val="0"/>
          <w:marRight w:val="0"/>
          <w:marTop w:val="0"/>
          <w:marBottom w:val="0"/>
          <w:divBdr>
            <w:top w:val="none" w:sz="0" w:space="0" w:color="auto"/>
            <w:left w:val="none" w:sz="0" w:space="0" w:color="auto"/>
            <w:bottom w:val="none" w:sz="0" w:space="0" w:color="auto"/>
            <w:right w:val="none" w:sz="0" w:space="0" w:color="auto"/>
          </w:divBdr>
          <w:divsChild>
            <w:div w:id="1886284013">
              <w:marLeft w:val="0"/>
              <w:marRight w:val="0"/>
              <w:marTop w:val="0"/>
              <w:marBottom w:val="0"/>
              <w:divBdr>
                <w:top w:val="none" w:sz="0" w:space="0" w:color="auto"/>
                <w:left w:val="none" w:sz="0" w:space="0" w:color="auto"/>
                <w:bottom w:val="none" w:sz="0" w:space="0" w:color="auto"/>
                <w:right w:val="none" w:sz="0" w:space="0" w:color="auto"/>
              </w:divBdr>
              <w:divsChild>
                <w:div w:id="1702363499">
                  <w:marLeft w:val="0"/>
                  <w:marRight w:val="0"/>
                  <w:marTop w:val="0"/>
                  <w:marBottom w:val="0"/>
                  <w:divBdr>
                    <w:top w:val="none" w:sz="0" w:space="0" w:color="auto"/>
                    <w:left w:val="none" w:sz="0" w:space="0" w:color="auto"/>
                    <w:bottom w:val="none" w:sz="0" w:space="0" w:color="auto"/>
                    <w:right w:val="single" w:sz="6" w:space="11" w:color="EDEDED"/>
                  </w:divBdr>
                </w:div>
              </w:divsChild>
            </w:div>
          </w:divsChild>
        </w:div>
      </w:divsChild>
    </w:div>
    <w:div w:id="1579364622">
      <w:bodyDiv w:val="1"/>
      <w:marLeft w:val="0"/>
      <w:marRight w:val="0"/>
      <w:marTop w:val="0"/>
      <w:marBottom w:val="0"/>
      <w:divBdr>
        <w:top w:val="none" w:sz="0" w:space="0" w:color="auto"/>
        <w:left w:val="none" w:sz="0" w:space="0" w:color="auto"/>
        <w:bottom w:val="none" w:sz="0" w:space="0" w:color="auto"/>
        <w:right w:val="none" w:sz="0" w:space="0" w:color="auto"/>
      </w:divBdr>
    </w:div>
    <w:div w:id="195933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bef2b40-243b-4438-8d11-db1cd5631eb7">
      <UserInfo>
        <DisplayName>T Mistry</DisplayName>
        <AccountId>783</AccountId>
        <AccountType/>
      </UserInfo>
      <UserInfo>
        <DisplayName>M Sharpe</DisplayName>
        <AccountId>246</AccountId>
        <AccountType/>
      </UserInfo>
      <UserInfo>
        <DisplayName>J Byrne</DisplayName>
        <AccountId>28</AccountId>
        <AccountType/>
      </UserInfo>
    </SharedWithUsers>
    <TaxCatchAll xmlns="9bef2b40-243b-4438-8d11-db1cd5631eb7" xsi:nil="true"/>
    <lcf76f155ced4ddcb4097134ff3c332f xmlns="731b9ca9-e2e9-4da7-8def-749d5fd6e7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64AAE98681BD4CB1C0F832596DE7CD" ma:contentTypeVersion="18" ma:contentTypeDescription="Create a new document." ma:contentTypeScope="" ma:versionID="9b33586b06f665968bf439375f5db3fa">
  <xsd:schema xmlns:xsd="http://www.w3.org/2001/XMLSchema" xmlns:xs="http://www.w3.org/2001/XMLSchema" xmlns:p="http://schemas.microsoft.com/office/2006/metadata/properties" xmlns:ns2="731b9ca9-e2e9-4da7-8def-749d5fd6e777" xmlns:ns3="9bef2b40-243b-4438-8d11-db1cd5631eb7" targetNamespace="http://schemas.microsoft.com/office/2006/metadata/properties" ma:root="true" ma:fieldsID="40c02e719f440f28177086726b44e454" ns2:_="" ns3:_="">
    <xsd:import namespace="731b9ca9-e2e9-4da7-8def-749d5fd6e777"/>
    <xsd:import namespace="9bef2b40-243b-4438-8d11-db1cd5631e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b9ca9-e2e9-4da7-8def-749d5fd6e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826bf7-9e5f-4e2b-be30-8af44705de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f2b40-243b-4438-8d11-db1cd5631e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9b1a1-5f93-4dae-af46-91cdaf117013}" ma:internalName="TaxCatchAll" ma:showField="CatchAllData" ma:web="9bef2b40-243b-4438-8d11-db1cd5631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AA828-1195-490B-B080-6EFC99877F6A}">
  <ds:schemaRefs>
    <ds:schemaRef ds:uri="http://schemas.microsoft.com/sharepoint/v3/contenttype/forms"/>
  </ds:schemaRefs>
</ds:datastoreItem>
</file>

<file path=customXml/itemProps2.xml><?xml version="1.0" encoding="utf-8"?>
<ds:datastoreItem xmlns:ds="http://schemas.openxmlformats.org/officeDocument/2006/customXml" ds:itemID="{9569BBAE-3E44-4DF4-9587-2C05CC0241D3}">
  <ds:schemaRefs>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731b9ca9-e2e9-4da7-8def-749d5fd6e777"/>
    <ds:schemaRef ds:uri="9bef2b40-243b-4438-8d11-db1cd5631eb7"/>
    <ds:schemaRef ds:uri="http://schemas.openxmlformats.org/package/2006/metadata/core-properties"/>
  </ds:schemaRefs>
</ds:datastoreItem>
</file>

<file path=customXml/itemProps3.xml><?xml version="1.0" encoding="utf-8"?>
<ds:datastoreItem xmlns:ds="http://schemas.openxmlformats.org/officeDocument/2006/customXml" ds:itemID="{9483DCC6-D3B5-42D8-83E8-7E1D8705B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b9ca9-e2e9-4da7-8def-749d5fd6e777"/>
    <ds:schemaRef ds:uri="9bef2b40-243b-4438-8d11-db1cd5631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dc:creator>
  <cp:keywords/>
  <dc:description/>
  <cp:lastModifiedBy>T Mistry</cp:lastModifiedBy>
  <cp:revision>2</cp:revision>
  <cp:lastPrinted>2018-01-23T11:27:00Z</cp:lastPrinted>
  <dcterms:created xsi:type="dcterms:W3CDTF">2025-05-09T08:59:00Z</dcterms:created>
  <dcterms:modified xsi:type="dcterms:W3CDTF">2025-05-09T08:59:00Z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0x010100B164AAE98681BD4CB1C0F832596DE7CD</vt:lpwstr>
  </property>
  <property fmtid="{D5CDD505-2E9C-101B-9397-08002B2CF9AE}" pid="4" name="Order">
    <vt:r8>1799400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