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F85ED" w14:textId="746D8CE8" w:rsidR="00A82998" w:rsidRPr="00F5283A" w:rsidRDefault="00625F6E">
      <w:pPr>
        <w:rPr>
          <w:sz w:val="36"/>
          <w:szCs w:val="36"/>
        </w:rPr>
      </w:pPr>
    </w:p>
    <w:p w14:paraId="5ABEA5AD" w14:textId="165DB553" w:rsidR="003150DE" w:rsidRPr="003150DE" w:rsidRDefault="003150DE" w:rsidP="003150DE">
      <w:pPr>
        <w:jc w:val="center"/>
        <w:outlineLvl w:val="0"/>
        <w:rPr>
          <w:rFonts w:eastAsia="Times New Roman" w:cstheme="minorHAnsi"/>
          <w:color w:val="000000" w:themeColor="text1"/>
          <w:kern w:val="36"/>
          <w:sz w:val="28"/>
          <w:szCs w:val="28"/>
          <w:lang w:eastAsia="en-GB"/>
        </w:rPr>
      </w:pPr>
      <w:r w:rsidRPr="003150DE">
        <w:rPr>
          <w:rFonts w:eastAsia="Times New Roman" w:cstheme="minorHAnsi"/>
          <w:color w:val="000000" w:themeColor="text1"/>
          <w:kern w:val="36"/>
          <w:sz w:val="28"/>
          <w:szCs w:val="28"/>
          <w:lang w:eastAsia="en-GB"/>
        </w:rPr>
        <w:t>Welcome to Woodfield Academy</w:t>
      </w:r>
      <w:r w:rsidRPr="003150DE">
        <w:rPr>
          <w:rFonts w:eastAsia="Times New Roman" w:cstheme="minorHAnsi"/>
          <w:color w:val="000000" w:themeColor="text1"/>
          <w:kern w:val="36"/>
          <w:sz w:val="28"/>
          <w:szCs w:val="28"/>
          <w:lang w:eastAsia="en-GB"/>
        </w:rPr>
        <w:br/>
      </w:r>
      <w:r w:rsidR="00F5283A" w:rsidRPr="00F82FAC">
        <w:rPr>
          <w:rFonts w:eastAsia="Times New Roman" w:cstheme="minorHAnsi"/>
          <w:color w:val="000000" w:themeColor="text1"/>
          <w:kern w:val="36"/>
          <w:sz w:val="28"/>
          <w:szCs w:val="28"/>
          <w:lang w:eastAsia="en-GB"/>
        </w:rPr>
        <w:t>“</w:t>
      </w:r>
      <w:r w:rsidRPr="003150DE">
        <w:rPr>
          <w:rFonts w:eastAsia="Times New Roman" w:cstheme="minorHAnsi"/>
          <w:i/>
          <w:iCs/>
          <w:color w:val="000000" w:themeColor="text1"/>
          <w:kern w:val="36"/>
          <w:sz w:val="28"/>
          <w:szCs w:val="28"/>
          <w:lang w:eastAsia="en-GB"/>
        </w:rPr>
        <w:t>Helping Everyone Reach Their Potential</w:t>
      </w:r>
      <w:r w:rsidR="00F5283A" w:rsidRPr="00F82FAC">
        <w:rPr>
          <w:rFonts w:eastAsia="Times New Roman" w:cstheme="minorHAnsi"/>
          <w:color w:val="000000" w:themeColor="text1"/>
          <w:kern w:val="36"/>
          <w:sz w:val="28"/>
          <w:szCs w:val="28"/>
          <w:lang w:eastAsia="en-GB"/>
        </w:rPr>
        <w:t>”</w:t>
      </w:r>
    </w:p>
    <w:p w14:paraId="29C38AE8" w14:textId="4DB4AC0A" w:rsidR="003150DE" w:rsidRDefault="003150DE"/>
    <w:p w14:paraId="782D6A98" w14:textId="77777777" w:rsidR="0072140C" w:rsidRPr="0072140C" w:rsidRDefault="0072140C" w:rsidP="0072140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72140C">
        <w:rPr>
          <w:rFonts w:ascii="Calibri" w:hAnsi="Calibri" w:cs="Calibri"/>
          <w:b/>
          <w:bCs/>
          <w:color w:val="000000"/>
        </w:rPr>
        <w:t xml:space="preserve">THE POST </w:t>
      </w:r>
    </w:p>
    <w:p w14:paraId="015F515E" w14:textId="575690E9" w:rsidR="0072140C" w:rsidRPr="0051590C" w:rsidRDefault="0072140C" w:rsidP="0072140C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72140C">
        <w:rPr>
          <w:rFonts w:ascii="Calibri" w:hAnsi="Calibri" w:cs="Calibri"/>
          <w:color w:val="000000"/>
          <w:sz w:val="22"/>
          <w:szCs w:val="22"/>
        </w:rPr>
        <w:t xml:space="preserve">This vacancy has arisen </w:t>
      </w:r>
      <w:r w:rsidR="00040C89">
        <w:rPr>
          <w:rFonts w:ascii="Calibri" w:hAnsi="Calibri" w:cs="Calibri"/>
          <w:color w:val="000000"/>
          <w:sz w:val="22"/>
          <w:szCs w:val="22"/>
        </w:rPr>
        <w:t xml:space="preserve">due to </w:t>
      </w:r>
      <w:r w:rsidRPr="0072140C">
        <w:rPr>
          <w:rFonts w:ascii="Calibri" w:hAnsi="Calibri" w:cs="Calibri"/>
          <w:color w:val="000000"/>
          <w:sz w:val="22"/>
          <w:szCs w:val="22"/>
        </w:rPr>
        <w:t xml:space="preserve">the </w:t>
      </w:r>
      <w:r w:rsidR="00385BEE" w:rsidRPr="0051590C">
        <w:rPr>
          <w:rFonts w:ascii="Calibri" w:hAnsi="Calibri" w:cs="Calibri"/>
          <w:color w:val="000000"/>
          <w:sz w:val="22"/>
          <w:szCs w:val="22"/>
        </w:rPr>
        <w:t xml:space="preserve">contract of the current </w:t>
      </w:r>
      <w:r w:rsidRPr="0051590C">
        <w:rPr>
          <w:rFonts w:ascii="Calibri" w:hAnsi="Calibri" w:cs="Calibri"/>
          <w:color w:val="000000"/>
          <w:sz w:val="22"/>
          <w:szCs w:val="22"/>
        </w:rPr>
        <w:t xml:space="preserve">Interim </w:t>
      </w:r>
      <w:r w:rsidRPr="0072140C">
        <w:rPr>
          <w:rFonts w:ascii="Calibri" w:hAnsi="Calibri" w:cs="Calibri"/>
          <w:color w:val="000000"/>
          <w:sz w:val="22"/>
          <w:szCs w:val="22"/>
        </w:rPr>
        <w:t>Headteache</w:t>
      </w:r>
      <w:r w:rsidRPr="0051590C">
        <w:rPr>
          <w:rFonts w:ascii="Calibri" w:hAnsi="Calibri" w:cs="Calibri"/>
          <w:color w:val="000000"/>
          <w:sz w:val="22"/>
          <w:szCs w:val="22"/>
        </w:rPr>
        <w:t>r</w:t>
      </w:r>
      <w:r w:rsidRPr="0072140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85BEE" w:rsidRPr="0051590C">
        <w:rPr>
          <w:rFonts w:ascii="Calibri" w:hAnsi="Calibri" w:cs="Calibri"/>
          <w:color w:val="000000"/>
          <w:sz w:val="22"/>
          <w:szCs w:val="22"/>
        </w:rPr>
        <w:t>expir</w:t>
      </w:r>
      <w:r w:rsidR="00040C89">
        <w:rPr>
          <w:rFonts w:ascii="Calibri" w:hAnsi="Calibri" w:cs="Calibri"/>
          <w:color w:val="000000"/>
          <w:sz w:val="22"/>
          <w:szCs w:val="22"/>
        </w:rPr>
        <w:t>ing</w:t>
      </w:r>
      <w:r w:rsidR="00385BEE" w:rsidRPr="0051590C">
        <w:rPr>
          <w:rFonts w:ascii="Calibri" w:hAnsi="Calibri" w:cs="Calibri"/>
          <w:color w:val="000000"/>
          <w:sz w:val="22"/>
          <w:szCs w:val="22"/>
        </w:rPr>
        <w:t xml:space="preserve"> on the 31.08.21. </w:t>
      </w:r>
      <w:r w:rsidRPr="0072140C">
        <w:rPr>
          <w:rFonts w:ascii="Calibri" w:hAnsi="Calibri" w:cs="Calibri"/>
          <w:color w:val="000000"/>
          <w:sz w:val="22"/>
          <w:szCs w:val="22"/>
        </w:rPr>
        <w:t xml:space="preserve">The successful candidate will be expected to start </w:t>
      </w:r>
      <w:r w:rsidR="0065679E">
        <w:rPr>
          <w:rFonts w:ascii="Calibri" w:hAnsi="Calibri" w:cs="Calibri"/>
          <w:color w:val="000000"/>
          <w:sz w:val="22"/>
          <w:szCs w:val="22"/>
        </w:rPr>
        <w:t xml:space="preserve">either </w:t>
      </w:r>
      <w:r w:rsidRPr="0072140C">
        <w:rPr>
          <w:rFonts w:ascii="Calibri" w:hAnsi="Calibri" w:cs="Calibri"/>
          <w:color w:val="000000"/>
          <w:sz w:val="22"/>
          <w:szCs w:val="22"/>
        </w:rPr>
        <w:t>on the 1st September 202</w:t>
      </w:r>
      <w:r w:rsidRPr="0051590C">
        <w:rPr>
          <w:rFonts w:ascii="Calibri" w:hAnsi="Calibri" w:cs="Calibri"/>
          <w:color w:val="000000"/>
          <w:sz w:val="22"/>
          <w:szCs w:val="22"/>
        </w:rPr>
        <w:t>1</w:t>
      </w:r>
      <w:r w:rsidR="003D7B4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5679E">
        <w:rPr>
          <w:rFonts w:ascii="Calibri" w:hAnsi="Calibri" w:cs="Calibri"/>
          <w:color w:val="000000"/>
          <w:sz w:val="22"/>
          <w:szCs w:val="22"/>
        </w:rPr>
        <w:t>or 1</w:t>
      </w:r>
      <w:r w:rsidR="0065679E" w:rsidRPr="0065679E">
        <w:rPr>
          <w:rFonts w:ascii="Calibri" w:hAnsi="Calibri" w:cs="Calibri"/>
          <w:color w:val="000000"/>
          <w:sz w:val="22"/>
          <w:szCs w:val="22"/>
          <w:vertAlign w:val="superscript"/>
        </w:rPr>
        <w:t>st</w:t>
      </w:r>
      <w:r w:rsidR="0065679E">
        <w:rPr>
          <w:rFonts w:ascii="Calibri" w:hAnsi="Calibri" w:cs="Calibri"/>
          <w:color w:val="000000"/>
          <w:sz w:val="22"/>
          <w:szCs w:val="22"/>
        </w:rPr>
        <w:t xml:space="preserve"> January 2022 </w:t>
      </w:r>
      <w:r w:rsidR="00040C89">
        <w:rPr>
          <w:rFonts w:ascii="Calibri" w:hAnsi="Calibri" w:cs="Calibri"/>
          <w:color w:val="000000"/>
          <w:sz w:val="22"/>
          <w:szCs w:val="22"/>
        </w:rPr>
        <w:t>having had opportunit</w:t>
      </w:r>
      <w:r w:rsidR="00385371">
        <w:rPr>
          <w:rFonts w:ascii="Calibri" w:hAnsi="Calibri" w:cs="Calibri"/>
          <w:color w:val="000000"/>
          <w:sz w:val="22"/>
          <w:szCs w:val="22"/>
        </w:rPr>
        <w:t xml:space="preserve">ies to ensure </w:t>
      </w:r>
      <w:r w:rsidR="00040C89">
        <w:rPr>
          <w:rFonts w:ascii="Calibri" w:hAnsi="Calibri" w:cs="Calibri"/>
          <w:color w:val="000000"/>
          <w:sz w:val="22"/>
          <w:szCs w:val="22"/>
        </w:rPr>
        <w:t>a smooth transition.</w:t>
      </w:r>
    </w:p>
    <w:p w14:paraId="0F0D6DEE" w14:textId="77777777" w:rsidR="00CF0445" w:rsidRPr="0072140C" w:rsidRDefault="00CF0445" w:rsidP="0072140C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</w:p>
    <w:p w14:paraId="40C13846" w14:textId="65E6B38C" w:rsidR="0072140C" w:rsidRPr="0072140C" w:rsidRDefault="0072140C" w:rsidP="0072140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72140C">
        <w:rPr>
          <w:rFonts w:ascii="Calibri" w:hAnsi="Calibri" w:cs="Calibri"/>
          <w:b/>
          <w:bCs/>
          <w:color w:val="000000"/>
        </w:rPr>
        <w:t xml:space="preserve">SALARY RANGE </w:t>
      </w:r>
    </w:p>
    <w:p w14:paraId="4F98A6F4" w14:textId="77777777" w:rsidR="0072140C" w:rsidRPr="0072140C" w:rsidRDefault="0072140C" w:rsidP="0072140C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 w:rsidRPr="0072140C">
        <w:rPr>
          <w:rFonts w:ascii="Calibri" w:hAnsi="Calibri" w:cs="Calibri"/>
          <w:color w:val="000000"/>
          <w:sz w:val="23"/>
          <w:szCs w:val="23"/>
        </w:rPr>
        <w:t xml:space="preserve">L 20 to L 26 </w:t>
      </w:r>
    </w:p>
    <w:p w14:paraId="142EE3D2" w14:textId="77777777" w:rsidR="0072140C" w:rsidRDefault="0072140C" w:rsidP="0072140C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2E49B58F" w14:textId="6078C51D" w:rsidR="0072140C" w:rsidRPr="0072140C" w:rsidRDefault="0072140C" w:rsidP="0072140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72140C">
        <w:rPr>
          <w:rFonts w:ascii="Calibri" w:hAnsi="Calibri" w:cs="Calibri"/>
          <w:b/>
          <w:bCs/>
          <w:color w:val="000000"/>
        </w:rPr>
        <w:t xml:space="preserve">CONTRACT TERM </w:t>
      </w:r>
    </w:p>
    <w:p w14:paraId="07B5B1F5" w14:textId="34FC9D29" w:rsidR="0072140C" w:rsidRPr="004556A2" w:rsidRDefault="00BA04A5" w:rsidP="0072140C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F</w:t>
      </w:r>
      <w:r w:rsidRPr="0072140C">
        <w:rPr>
          <w:rFonts w:ascii="Calibri" w:hAnsi="Calibri" w:cs="Calibri"/>
          <w:color w:val="000000"/>
          <w:sz w:val="23"/>
          <w:szCs w:val="23"/>
        </w:rPr>
        <w:t>ull-time</w:t>
      </w:r>
      <w:r>
        <w:rPr>
          <w:rFonts w:ascii="Calibri" w:hAnsi="Calibri" w:cs="Calibri"/>
          <w:color w:val="000000"/>
          <w:sz w:val="23"/>
          <w:szCs w:val="23"/>
        </w:rPr>
        <w:t xml:space="preserve"> permanent </w:t>
      </w:r>
      <w:r w:rsidR="0072140C">
        <w:rPr>
          <w:rFonts w:ascii="Calibri" w:hAnsi="Calibri" w:cs="Calibri"/>
          <w:color w:val="000000"/>
          <w:sz w:val="23"/>
          <w:szCs w:val="23"/>
        </w:rPr>
        <w:t>contract</w:t>
      </w:r>
    </w:p>
    <w:p w14:paraId="55673277" w14:textId="2C55F0FC" w:rsidR="00BF0F6D" w:rsidRDefault="00BF0F6D" w:rsidP="00BF0F6D">
      <w:pPr>
        <w:pStyle w:val="spacer1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780AD061" w14:textId="150EFC57" w:rsidR="004556A2" w:rsidRPr="004556A2" w:rsidRDefault="004556A2" w:rsidP="00BF0F6D">
      <w:pPr>
        <w:pStyle w:val="spacer1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556A2">
        <w:rPr>
          <w:rFonts w:asciiTheme="minorHAnsi" w:hAnsiTheme="minorHAnsi" w:cstheme="minorHAnsi"/>
          <w:b/>
          <w:bCs/>
          <w:sz w:val="24"/>
          <w:szCs w:val="24"/>
        </w:rPr>
        <w:t>S</w:t>
      </w:r>
      <w:r>
        <w:rPr>
          <w:rFonts w:asciiTheme="minorHAnsi" w:hAnsiTheme="minorHAnsi" w:cstheme="minorHAnsi"/>
          <w:b/>
          <w:bCs/>
          <w:sz w:val="24"/>
          <w:szCs w:val="24"/>
        </w:rPr>
        <w:t>CHOOL INFORMATION</w:t>
      </w:r>
    </w:p>
    <w:p w14:paraId="5643963A" w14:textId="088181E7" w:rsidR="00351F81" w:rsidRDefault="00BF0F6D" w:rsidP="00BF0F6D">
      <w:pPr>
        <w:rPr>
          <w:rFonts w:cstheme="minorHAnsi"/>
          <w:sz w:val="22"/>
          <w:szCs w:val="22"/>
        </w:rPr>
      </w:pPr>
      <w:r w:rsidRPr="00B523CE">
        <w:rPr>
          <w:rFonts w:cstheme="minorHAnsi"/>
          <w:sz w:val="22"/>
          <w:szCs w:val="22"/>
        </w:rPr>
        <w:t xml:space="preserve">Woodfield Academy is a larger than average Middle (deemed secondary) school situated in Redditch. </w:t>
      </w:r>
      <w:r w:rsidR="00351F81">
        <w:rPr>
          <w:rFonts w:cstheme="minorHAnsi"/>
          <w:sz w:val="22"/>
          <w:szCs w:val="22"/>
        </w:rPr>
        <w:t xml:space="preserve"> There are currently 62 staff employed by the Academy. </w:t>
      </w:r>
      <w:r w:rsidRPr="00B523CE">
        <w:rPr>
          <w:rFonts w:cstheme="minorHAnsi"/>
          <w:sz w:val="22"/>
          <w:szCs w:val="22"/>
        </w:rPr>
        <w:t xml:space="preserve">It has </w:t>
      </w:r>
      <w:r w:rsidRPr="00385371">
        <w:rPr>
          <w:rFonts w:cstheme="minorHAnsi"/>
          <w:sz w:val="22"/>
          <w:szCs w:val="22"/>
        </w:rPr>
        <w:t>538</w:t>
      </w:r>
      <w:r w:rsidRPr="00B523CE">
        <w:rPr>
          <w:rFonts w:cstheme="minorHAnsi"/>
          <w:sz w:val="22"/>
          <w:szCs w:val="22"/>
        </w:rPr>
        <w:t xml:space="preserve"> pupils on roll (600 capacity) during the 2020-21 academic year </w:t>
      </w:r>
      <w:r w:rsidRPr="00351F81">
        <w:rPr>
          <w:rFonts w:cstheme="minorHAnsi"/>
          <w:sz w:val="22"/>
          <w:szCs w:val="22"/>
        </w:rPr>
        <w:t>(5</w:t>
      </w:r>
      <w:r w:rsidR="004556A2" w:rsidRPr="00351F81">
        <w:rPr>
          <w:rFonts w:cstheme="minorHAnsi"/>
          <w:sz w:val="22"/>
          <w:szCs w:val="22"/>
        </w:rPr>
        <w:t>5</w:t>
      </w:r>
      <w:r w:rsidRPr="00351F81">
        <w:rPr>
          <w:rFonts w:cstheme="minorHAnsi"/>
          <w:sz w:val="22"/>
          <w:szCs w:val="22"/>
        </w:rPr>
        <w:t>% male and 4</w:t>
      </w:r>
      <w:r w:rsidR="004556A2" w:rsidRPr="00351F81">
        <w:rPr>
          <w:rFonts w:cstheme="minorHAnsi"/>
          <w:sz w:val="22"/>
          <w:szCs w:val="22"/>
        </w:rPr>
        <w:t>5</w:t>
      </w:r>
      <w:r w:rsidRPr="00351F81">
        <w:rPr>
          <w:rFonts w:cstheme="minorHAnsi"/>
          <w:sz w:val="22"/>
          <w:szCs w:val="22"/>
        </w:rPr>
        <w:t xml:space="preserve">% female). </w:t>
      </w:r>
    </w:p>
    <w:p w14:paraId="2F0B874B" w14:textId="77777777" w:rsidR="00351F81" w:rsidRDefault="00351F81" w:rsidP="00BF0F6D">
      <w:pPr>
        <w:rPr>
          <w:rFonts w:cstheme="minorHAnsi"/>
          <w:sz w:val="22"/>
          <w:szCs w:val="22"/>
        </w:rPr>
      </w:pPr>
    </w:p>
    <w:p w14:paraId="6CDEDDAB" w14:textId="1FBFD01E" w:rsidR="00BF0F6D" w:rsidRPr="00385371" w:rsidRDefault="00351F81" w:rsidP="00385371">
      <w:pPr>
        <w:tabs>
          <w:tab w:val="left" w:pos="2410"/>
        </w:tabs>
        <w:rPr>
          <w:rFonts w:cstheme="minorHAnsi"/>
          <w:sz w:val="22"/>
          <w:szCs w:val="22"/>
        </w:rPr>
      </w:pPr>
      <w:r w:rsidRPr="00385371">
        <w:rPr>
          <w:rFonts w:cstheme="minorHAnsi"/>
          <w:sz w:val="22"/>
          <w:szCs w:val="22"/>
        </w:rPr>
        <w:t>The Academy is in an area of economic and social deprivation (</w:t>
      </w:r>
      <w:r w:rsidRPr="005E6E3A">
        <w:rPr>
          <w:rFonts w:cstheme="minorHAnsi"/>
          <w:sz w:val="22"/>
          <w:szCs w:val="22"/>
        </w:rPr>
        <w:t>4</w:t>
      </w:r>
      <w:r w:rsidR="005E6E3A">
        <w:rPr>
          <w:rFonts w:cstheme="minorHAnsi"/>
          <w:sz w:val="22"/>
          <w:szCs w:val="22"/>
        </w:rPr>
        <w:t>2%</w:t>
      </w:r>
      <w:r w:rsidRPr="00385371">
        <w:rPr>
          <w:rFonts w:cstheme="minorHAnsi"/>
          <w:sz w:val="22"/>
          <w:szCs w:val="22"/>
        </w:rPr>
        <w:t xml:space="preserve"> of pupils are PPG - much higher than the national average - and 22.6% pupils deemed as having SEND </w:t>
      </w:r>
      <w:r w:rsidR="00336151">
        <w:rPr>
          <w:rFonts w:cstheme="minorHAnsi"/>
          <w:sz w:val="22"/>
          <w:szCs w:val="22"/>
        </w:rPr>
        <w:t>also</w:t>
      </w:r>
      <w:r w:rsidRPr="00385371">
        <w:rPr>
          <w:rFonts w:cstheme="minorHAnsi"/>
          <w:sz w:val="22"/>
          <w:szCs w:val="22"/>
        </w:rPr>
        <w:t xml:space="preserve"> well</w:t>
      </w:r>
      <w:r w:rsidR="00336151">
        <w:rPr>
          <w:rFonts w:cstheme="minorHAnsi"/>
          <w:sz w:val="22"/>
          <w:szCs w:val="22"/>
        </w:rPr>
        <w:t xml:space="preserve"> </w:t>
      </w:r>
      <w:r w:rsidRPr="00385371">
        <w:rPr>
          <w:rFonts w:cstheme="minorHAnsi"/>
          <w:sz w:val="22"/>
          <w:szCs w:val="22"/>
        </w:rPr>
        <w:t xml:space="preserve">above average). </w:t>
      </w:r>
      <w:r w:rsidR="004556A2">
        <w:rPr>
          <w:rFonts w:cstheme="minorHAnsi"/>
          <w:sz w:val="22"/>
          <w:szCs w:val="22"/>
        </w:rPr>
        <w:t xml:space="preserve">The percentage </w:t>
      </w:r>
      <w:r w:rsidR="004556A2">
        <w:rPr>
          <w:rFonts w:cstheme="minorHAnsi"/>
          <w:color w:val="000000" w:themeColor="text1"/>
          <w:sz w:val="22"/>
          <w:szCs w:val="22"/>
        </w:rPr>
        <w:t xml:space="preserve">of </w:t>
      </w:r>
      <w:r w:rsidR="004556A2" w:rsidRPr="0051048E">
        <w:rPr>
          <w:rFonts w:cstheme="minorHAnsi"/>
          <w:color w:val="000000" w:themeColor="text1"/>
          <w:sz w:val="22"/>
          <w:szCs w:val="22"/>
        </w:rPr>
        <w:t xml:space="preserve">pupils </w:t>
      </w:r>
      <w:r w:rsidR="004556A2">
        <w:rPr>
          <w:rFonts w:cstheme="minorHAnsi"/>
          <w:color w:val="000000" w:themeColor="text1"/>
          <w:sz w:val="22"/>
          <w:szCs w:val="22"/>
        </w:rPr>
        <w:t xml:space="preserve">who have </w:t>
      </w:r>
      <w:r w:rsidR="004556A2" w:rsidRPr="0051048E">
        <w:rPr>
          <w:rFonts w:cstheme="minorHAnsi"/>
          <w:color w:val="000000" w:themeColor="text1"/>
          <w:sz w:val="22"/>
          <w:szCs w:val="22"/>
        </w:rPr>
        <w:t>FSM </w:t>
      </w:r>
      <w:r w:rsidR="00374E4C">
        <w:rPr>
          <w:rFonts w:cstheme="minorHAnsi"/>
          <w:color w:val="000000" w:themeColor="text1"/>
          <w:sz w:val="22"/>
          <w:szCs w:val="22"/>
        </w:rPr>
        <w:t xml:space="preserve">is </w:t>
      </w:r>
      <w:r w:rsidR="004556A2" w:rsidRPr="00351F81">
        <w:rPr>
          <w:rFonts w:cstheme="minorHAnsi"/>
          <w:color w:val="000000" w:themeColor="text1"/>
          <w:sz w:val="22"/>
          <w:szCs w:val="22"/>
        </w:rPr>
        <w:t>27%</w:t>
      </w:r>
      <w:r w:rsidR="004556A2">
        <w:rPr>
          <w:rFonts w:cstheme="minorHAnsi"/>
          <w:color w:val="000000" w:themeColor="text1"/>
          <w:sz w:val="22"/>
          <w:szCs w:val="22"/>
        </w:rPr>
        <w:t xml:space="preserve"> and </w:t>
      </w:r>
      <w:r w:rsidR="004556A2" w:rsidRPr="0051048E">
        <w:rPr>
          <w:rFonts w:cstheme="minorHAnsi"/>
          <w:color w:val="000000" w:themeColor="text1"/>
          <w:sz w:val="22"/>
          <w:szCs w:val="22"/>
        </w:rPr>
        <w:t xml:space="preserve">pupils </w:t>
      </w:r>
      <w:r>
        <w:rPr>
          <w:rFonts w:cstheme="minorHAnsi"/>
          <w:color w:val="000000" w:themeColor="text1"/>
          <w:sz w:val="22"/>
          <w:szCs w:val="22"/>
        </w:rPr>
        <w:t xml:space="preserve">with additional </w:t>
      </w:r>
      <w:r w:rsidR="004556A2" w:rsidRPr="0051048E">
        <w:rPr>
          <w:rFonts w:cstheme="minorHAnsi"/>
          <w:color w:val="000000" w:themeColor="text1"/>
          <w:sz w:val="22"/>
          <w:szCs w:val="22"/>
        </w:rPr>
        <w:t>EAL</w:t>
      </w:r>
      <w:r>
        <w:rPr>
          <w:rFonts w:cstheme="minorHAnsi"/>
          <w:color w:val="000000" w:themeColor="text1"/>
          <w:sz w:val="22"/>
          <w:szCs w:val="22"/>
        </w:rPr>
        <w:t xml:space="preserve"> needs is </w:t>
      </w:r>
      <w:r w:rsidR="004556A2" w:rsidRPr="00351F81">
        <w:rPr>
          <w:rFonts w:cstheme="minorHAnsi"/>
          <w:color w:val="000000" w:themeColor="text1"/>
          <w:sz w:val="22"/>
          <w:szCs w:val="22"/>
        </w:rPr>
        <w:t>25%</w:t>
      </w:r>
      <w:r w:rsidRPr="00385371">
        <w:rPr>
          <w:rFonts w:cstheme="minorHAnsi"/>
          <w:sz w:val="22"/>
          <w:szCs w:val="22"/>
        </w:rPr>
        <w:t xml:space="preserve">. </w:t>
      </w:r>
      <w:r w:rsidR="00BF0F6D" w:rsidRPr="00385371">
        <w:rPr>
          <w:rFonts w:cstheme="minorHAnsi"/>
          <w:sz w:val="22"/>
          <w:szCs w:val="22"/>
        </w:rPr>
        <w:t xml:space="preserve">During the last OFSTED inspection in 2017, the school was deemed ‘Good’. </w:t>
      </w:r>
    </w:p>
    <w:p w14:paraId="302B1D4B" w14:textId="77777777" w:rsidR="00BF0F6D" w:rsidRPr="00B523CE" w:rsidRDefault="00BF0F6D" w:rsidP="00385371">
      <w:pPr>
        <w:tabs>
          <w:tab w:val="left" w:pos="2410"/>
        </w:tabs>
        <w:rPr>
          <w:rFonts w:cstheme="minorHAnsi"/>
          <w:sz w:val="22"/>
          <w:szCs w:val="22"/>
        </w:rPr>
      </w:pPr>
    </w:p>
    <w:p w14:paraId="459AFF39" w14:textId="6B331051" w:rsidR="00BF0F6D" w:rsidRPr="00B523CE" w:rsidRDefault="00BF0F6D" w:rsidP="00BF0F6D">
      <w:pPr>
        <w:pStyle w:val="spacer10"/>
        <w:jc w:val="both"/>
        <w:rPr>
          <w:rFonts w:asciiTheme="minorHAnsi" w:hAnsiTheme="minorHAnsi" w:cstheme="minorHAnsi"/>
          <w:sz w:val="22"/>
          <w:szCs w:val="22"/>
        </w:rPr>
      </w:pPr>
      <w:r w:rsidRPr="00B523CE">
        <w:rPr>
          <w:rFonts w:asciiTheme="minorHAnsi" w:hAnsiTheme="minorHAnsi" w:cstheme="minorHAnsi"/>
          <w:sz w:val="22"/>
          <w:szCs w:val="22"/>
        </w:rPr>
        <w:t>The 2017/18 KS2 Inspection Data Summary Report (IDSR) shows that the Academy is significantly below average (in the lowest 10% of schools) and that high prior attainers and disadvantaged pupils are in the lowest 20% for reading, writing and mathematics. Due to this the school has undergone significant change in leadership</w:t>
      </w:r>
      <w:r w:rsidR="00B523CE">
        <w:rPr>
          <w:rFonts w:asciiTheme="minorHAnsi" w:hAnsiTheme="minorHAnsi" w:cstheme="minorHAnsi"/>
          <w:sz w:val="22"/>
          <w:szCs w:val="22"/>
        </w:rPr>
        <w:t xml:space="preserve"> and received ESFA funded support from the CLC MAT</w:t>
      </w:r>
      <w:r w:rsidRPr="00B523CE">
        <w:rPr>
          <w:rFonts w:asciiTheme="minorHAnsi" w:hAnsiTheme="minorHAnsi" w:cstheme="minorHAnsi"/>
          <w:sz w:val="22"/>
          <w:szCs w:val="22"/>
        </w:rPr>
        <w:t xml:space="preserve">. The </w:t>
      </w:r>
      <w:r w:rsidR="00B523CE">
        <w:rPr>
          <w:rFonts w:asciiTheme="minorHAnsi" w:hAnsiTheme="minorHAnsi" w:cstheme="minorHAnsi"/>
          <w:sz w:val="22"/>
          <w:szCs w:val="22"/>
        </w:rPr>
        <w:t xml:space="preserve">main </w:t>
      </w:r>
      <w:r w:rsidRPr="00B523CE">
        <w:rPr>
          <w:rFonts w:asciiTheme="minorHAnsi" w:hAnsiTheme="minorHAnsi" w:cstheme="minorHAnsi"/>
          <w:sz w:val="22"/>
          <w:szCs w:val="22"/>
        </w:rPr>
        <w:t xml:space="preserve">aim of </w:t>
      </w:r>
      <w:r w:rsidR="00B523CE" w:rsidRPr="00B523CE">
        <w:rPr>
          <w:rFonts w:asciiTheme="minorHAnsi" w:hAnsiTheme="minorHAnsi" w:cstheme="minorHAnsi"/>
          <w:sz w:val="22"/>
          <w:szCs w:val="22"/>
        </w:rPr>
        <w:t>the</w:t>
      </w:r>
      <w:r w:rsidRPr="00B523CE">
        <w:rPr>
          <w:rFonts w:asciiTheme="minorHAnsi" w:hAnsiTheme="minorHAnsi" w:cstheme="minorHAnsi"/>
          <w:sz w:val="22"/>
          <w:szCs w:val="22"/>
        </w:rPr>
        <w:t xml:space="preserve"> Interim Headteacher ha</w:t>
      </w:r>
      <w:r w:rsidR="00AD721F">
        <w:rPr>
          <w:rFonts w:asciiTheme="minorHAnsi" w:hAnsiTheme="minorHAnsi" w:cstheme="minorHAnsi"/>
          <w:sz w:val="22"/>
          <w:szCs w:val="22"/>
        </w:rPr>
        <w:t>s</w:t>
      </w:r>
      <w:r w:rsidRPr="00B523CE">
        <w:rPr>
          <w:rFonts w:asciiTheme="minorHAnsi" w:hAnsiTheme="minorHAnsi" w:cstheme="minorHAnsi"/>
          <w:sz w:val="22"/>
          <w:szCs w:val="22"/>
        </w:rPr>
        <w:t xml:space="preserve"> been to bring stability to the staff and pupils. </w:t>
      </w:r>
    </w:p>
    <w:p w14:paraId="328272DB" w14:textId="259C03BF" w:rsidR="00B523CE" w:rsidRPr="00B523CE" w:rsidRDefault="00BF0F6D" w:rsidP="00B523CE">
      <w:pPr>
        <w:pStyle w:val="spacer10"/>
        <w:rPr>
          <w:rFonts w:asciiTheme="minorHAnsi" w:hAnsiTheme="minorHAnsi" w:cstheme="minorHAnsi"/>
          <w:sz w:val="22"/>
          <w:szCs w:val="22"/>
        </w:rPr>
      </w:pPr>
      <w:r w:rsidRPr="00B523C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E1D1304" w14:textId="28879E13" w:rsidR="00B523CE" w:rsidRPr="004556A2" w:rsidRDefault="00B523CE" w:rsidP="00B523CE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72140C">
        <w:rPr>
          <w:rFonts w:ascii="Calibri" w:hAnsi="Calibri" w:cs="Calibri"/>
          <w:color w:val="000000"/>
          <w:sz w:val="22"/>
          <w:szCs w:val="22"/>
        </w:rPr>
        <w:t xml:space="preserve">Despite this background, </w:t>
      </w:r>
      <w:r w:rsidRPr="004556A2">
        <w:rPr>
          <w:rFonts w:ascii="Calibri" w:hAnsi="Calibri" w:cs="Calibri"/>
          <w:color w:val="000000"/>
          <w:sz w:val="22"/>
          <w:szCs w:val="22"/>
        </w:rPr>
        <w:t xml:space="preserve">Woodfield </w:t>
      </w:r>
      <w:r w:rsidRPr="0072140C">
        <w:rPr>
          <w:rFonts w:ascii="Calibri" w:hAnsi="Calibri" w:cs="Calibri"/>
          <w:color w:val="000000"/>
          <w:sz w:val="22"/>
          <w:szCs w:val="22"/>
        </w:rPr>
        <w:t xml:space="preserve">is </w:t>
      </w:r>
      <w:r w:rsidRPr="004556A2">
        <w:rPr>
          <w:rFonts w:ascii="Calibri" w:hAnsi="Calibri" w:cs="Calibri"/>
          <w:color w:val="000000"/>
          <w:sz w:val="22"/>
          <w:szCs w:val="22"/>
        </w:rPr>
        <w:t>becoming an</w:t>
      </w:r>
      <w:r w:rsidRPr="0072140C">
        <w:rPr>
          <w:rFonts w:ascii="Calibri" w:hAnsi="Calibri" w:cs="Calibri"/>
          <w:color w:val="000000"/>
          <w:sz w:val="22"/>
          <w:szCs w:val="22"/>
        </w:rPr>
        <w:t xml:space="preserve"> increasingly popular school and under the current Headteacher has </w:t>
      </w:r>
      <w:r w:rsidRPr="004556A2">
        <w:rPr>
          <w:rFonts w:ascii="Calibri" w:hAnsi="Calibri" w:cs="Calibri"/>
          <w:color w:val="000000"/>
          <w:sz w:val="22"/>
          <w:szCs w:val="22"/>
        </w:rPr>
        <w:t>been oversubscribed</w:t>
      </w:r>
      <w:r w:rsidR="00AD721F" w:rsidRPr="004556A2">
        <w:rPr>
          <w:rFonts w:ascii="Calibri" w:hAnsi="Calibri" w:cs="Calibri"/>
          <w:color w:val="000000"/>
          <w:sz w:val="22"/>
          <w:szCs w:val="22"/>
        </w:rPr>
        <w:t>, in Year 5,</w:t>
      </w:r>
      <w:r w:rsidRPr="004556A2">
        <w:rPr>
          <w:rFonts w:ascii="Calibri" w:hAnsi="Calibri" w:cs="Calibri"/>
          <w:color w:val="000000"/>
          <w:sz w:val="22"/>
          <w:szCs w:val="22"/>
        </w:rPr>
        <w:t xml:space="preserve"> for the last 2 years</w:t>
      </w:r>
      <w:r w:rsidRPr="0072140C">
        <w:rPr>
          <w:rFonts w:ascii="Calibri" w:hAnsi="Calibri" w:cs="Calibri"/>
          <w:color w:val="000000"/>
          <w:sz w:val="22"/>
          <w:szCs w:val="22"/>
        </w:rPr>
        <w:t>. As well as a steadily increasing roll, the school has seen continued improvement in attendance, continued improvement in behaviour and more collaborative work with other agencies, organisations and schools</w:t>
      </w:r>
      <w:r w:rsidRPr="004556A2">
        <w:rPr>
          <w:rFonts w:ascii="Calibri" w:hAnsi="Calibri" w:cs="Calibri"/>
          <w:color w:val="000000"/>
          <w:sz w:val="22"/>
          <w:szCs w:val="22"/>
        </w:rPr>
        <w:t>.</w:t>
      </w:r>
    </w:p>
    <w:p w14:paraId="76C25FDD" w14:textId="7C6F5D96" w:rsidR="00BF0F6D" w:rsidRPr="00B523CE" w:rsidRDefault="00BF0F6D" w:rsidP="00BF0F6D">
      <w:pPr>
        <w:pStyle w:val="TextStdInput"/>
        <w:tabs>
          <w:tab w:val="clear" w:pos="1152"/>
        </w:tabs>
        <w:rPr>
          <w:rFonts w:asciiTheme="minorHAnsi" w:hAnsiTheme="minorHAnsi" w:cstheme="minorHAnsi"/>
          <w:sz w:val="22"/>
          <w:szCs w:val="22"/>
        </w:rPr>
      </w:pPr>
    </w:p>
    <w:p w14:paraId="6280B7AD" w14:textId="077D0D47" w:rsidR="00BF0F6D" w:rsidRPr="004556A2" w:rsidRDefault="00B523CE" w:rsidP="00B523CE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56A2">
        <w:rPr>
          <w:rFonts w:cstheme="minorHAnsi"/>
          <w:sz w:val="22"/>
          <w:szCs w:val="22"/>
        </w:rPr>
        <w:t xml:space="preserve">In the last 12 months, </w:t>
      </w:r>
      <w:r w:rsidR="00BF0F6D" w:rsidRPr="004556A2">
        <w:rPr>
          <w:rFonts w:cstheme="minorHAnsi"/>
          <w:sz w:val="22"/>
          <w:szCs w:val="22"/>
        </w:rPr>
        <w:t xml:space="preserve">objectives for the Academy </w:t>
      </w:r>
      <w:r w:rsidR="00AD721F" w:rsidRPr="004556A2">
        <w:rPr>
          <w:rFonts w:cstheme="minorHAnsi"/>
          <w:sz w:val="22"/>
          <w:szCs w:val="22"/>
        </w:rPr>
        <w:t>have been and will continue to be</w:t>
      </w:r>
      <w:r w:rsidR="00BF0F6D" w:rsidRPr="004556A2">
        <w:rPr>
          <w:rFonts w:cstheme="minorHAnsi"/>
          <w:sz w:val="22"/>
          <w:szCs w:val="22"/>
        </w:rPr>
        <w:t xml:space="preserve"> as follows:</w:t>
      </w:r>
    </w:p>
    <w:p w14:paraId="7F13632D" w14:textId="77777777" w:rsidR="00BF0F6D" w:rsidRPr="004556A2" w:rsidRDefault="00BF0F6D" w:rsidP="00BF0F6D">
      <w:pPr>
        <w:pStyle w:val="TextStdInput"/>
        <w:tabs>
          <w:tab w:val="clear" w:pos="1152"/>
        </w:tabs>
        <w:rPr>
          <w:rFonts w:asciiTheme="minorHAnsi" w:hAnsiTheme="minorHAnsi" w:cstheme="minorHAnsi"/>
          <w:sz w:val="22"/>
          <w:szCs w:val="22"/>
        </w:rPr>
      </w:pPr>
    </w:p>
    <w:p w14:paraId="25D0B4CD" w14:textId="63731942" w:rsidR="00BF0F6D" w:rsidRPr="004556A2" w:rsidRDefault="00BF0F6D" w:rsidP="00BF0F6D">
      <w:pPr>
        <w:pStyle w:val="TextStdInput"/>
        <w:numPr>
          <w:ilvl w:val="0"/>
          <w:numId w:val="2"/>
        </w:numPr>
        <w:tabs>
          <w:tab w:val="clear" w:pos="1152"/>
        </w:tabs>
        <w:rPr>
          <w:rFonts w:asciiTheme="minorHAnsi" w:hAnsiTheme="minorHAnsi" w:cstheme="minorHAnsi"/>
          <w:sz w:val="22"/>
          <w:szCs w:val="22"/>
        </w:rPr>
      </w:pPr>
      <w:r w:rsidRPr="004556A2">
        <w:rPr>
          <w:rFonts w:asciiTheme="minorHAnsi" w:hAnsiTheme="minorHAnsi" w:cstheme="minorHAnsi"/>
          <w:sz w:val="22"/>
          <w:szCs w:val="22"/>
        </w:rPr>
        <w:t>Ensuring all staff and pupils are safe and that health and safety national directives are fully implemented</w:t>
      </w:r>
      <w:r w:rsidR="00AD721F" w:rsidRPr="004556A2">
        <w:rPr>
          <w:rFonts w:asciiTheme="minorHAnsi" w:hAnsiTheme="minorHAnsi" w:cstheme="minorHAnsi"/>
          <w:sz w:val="22"/>
          <w:szCs w:val="22"/>
        </w:rPr>
        <w:t>.</w:t>
      </w:r>
    </w:p>
    <w:p w14:paraId="394D4F3D" w14:textId="5CC70D47" w:rsidR="00AD721F" w:rsidRPr="004556A2" w:rsidRDefault="00AD721F" w:rsidP="00BF0F6D">
      <w:pPr>
        <w:pStyle w:val="TextStdInput"/>
        <w:numPr>
          <w:ilvl w:val="0"/>
          <w:numId w:val="2"/>
        </w:numPr>
        <w:tabs>
          <w:tab w:val="clear" w:pos="1152"/>
        </w:tabs>
        <w:rPr>
          <w:rFonts w:asciiTheme="minorHAnsi" w:hAnsiTheme="minorHAnsi" w:cstheme="minorHAnsi"/>
          <w:sz w:val="22"/>
          <w:szCs w:val="22"/>
        </w:rPr>
      </w:pPr>
      <w:r w:rsidRPr="004556A2">
        <w:rPr>
          <w:rFonts w:asciiTheme="minorHAnsi" w:hAnsiTheme="minorHAnsi" w:cstheme="minorHAnsi"/>
          <w:sz w:val="22"/>
          <w:szCs w:val="22"/>
        </w:rPr>
        <w:t>Safeguarding</w:t>
      </w:r>
    </w:p>
    <w:p w14:paraId="52B4F543" w14:textId="5B554E4F" w:rsidR="00BF0F6D" w:rsidRPr="004556A2" w:rsidRDefault="00BF0F6D" w:rsidP="00BF0F6D">
      <w:pPr>
        <w:pStyle w:val="TextStdInput"/>
        <w:numPr>
          <w:ilvl w:val="0"/>
          <w:numId w:val="2"/>
        </w:numPr>
        <w:tabs>
          <w:tab w:val="clear" w:pos="1152"/>
        </w:tabs>
        <w:rPr>
          <w:rFonts w:asciiTheme="minorHAnsi" w:hAnsiTheme="minorHAnsi" w:cstheme="minorHAnsi"/>
          <w:sz w:val="22"/>
          <w:szCs w:val="22"/>
        </w:rPr>
      </w:pPr>
      <w:r w:rsidRPr="004556A2">
        <w:rPr>
          <w:rFonts w:asciiTheme="minorHAnsi" w:hAnsiTheme="minorHAnsi" w:cstheme="minorHAnsi"/>
          <w:sz w:val="22"/>
          <w:szCs w:val="22"/>
        </w:rPr>
        <w:t>Development of leadership capacity in the Academy</w:t>
      </w:r>
      <w:r w:rsidR="00AD721F" w:rsidRPr="004556A2">
        <w:rPr>
          <w:rFonts w:asciiTheme="minorHAnsi" w:hAnsiTheme="minorHAnsi" w:cstheme="minorHAnsi"/>
          <w:sz w:val="22"/>
          <w:szCs w:val="22"/>
        </w:rPr>
        <w:t>.</w:t>
      </w:r>
    </w:p>
    <w:p w14:paraId="0331EE8D" w14:textId="72AA0DA7" w:rsidR="00BF0F6D" w:rsidRPr="004556A2" w:rsidRDefault="00BF0F6D" w:rsidP="00BF0F6D">
      <w:pPr>
        <w:pStyle w:val="TextStdInput"/>
        <w:numPr>
          <w:ilvl w:val="0"/>
          <w:numId w:val="2"/>
        </w:numPr>
        <w:tabs>
          <w:tab w:val="clear" w:pos="1152"/>
        </w:tabs>
        <w:rPr>
          <w:rFonts w:asciiTheme="minorHAnsi" w:hAnsiTheme="minorHAnsi" w:cstheme="minorHAnsi"/>
          <w:sz w:val="22"/>
          <w:szCs w:val="22"/>
        </w:rPr>
      </w:pPr>
      <w:r w:rsidRPr="004556A2">
        <w:rPr>
          <w:rFonts w:asciiTheme="minorHAnsi" w:hAnsiTheme="minorHAnsi" w:cstheme="minorHAnsi"/>
          <w:sz w:val="22"/>
          <w:szCs w:val="22"/>
        </w:rPr>
        <w:t>Development of curriculum intents and the interconnectedness of subjects in order to make the curriculum more coherent in its design</w:t>
      </w:r>
      <w:r w:rsidR="00AD721F" w:rsidRPr="004556A2">
        <w:rPr>
          <w:rFonts w:asciiTheme="minorHAnsi" w:hAnsiTheme="minorHAnsi" w:cstheme="minorHAnsi"/>
          <w:sz w:val="22"/>
          <w:szCs w:val="22"/>
        </w:rPr>
        <w:t>.</w:t>
      </w:r>
    </w:p>
    <w:p w14:paraId="2D993738" w14:textId="00DAC186" w:rsidR="00BF0F6D" w:rsidRPr="004556A2" w:rsidRDefault="00BF0F6D" w:rsidP="00BF0F6D">
      <w:pPr>
        <w:pStyle w:val="TextStdInput"/>
        <w:numPr>
          <w:ilvl w:val="0"/>
          <w:numId w:val="2"/>
        </w:numPr>
        <w:tabs>
          <w:tab w:val="clear" w:pos="1152"/>
        </w:tabs>
        <w:rPr>
          <w:rFonts w:asciiTheme="minorHAnsi" w:hAnsiTheme="minorHAnsi" w:cstheme="minorHAnsi"/>
          <w:sz w:val="22"/>
          <w:szCs w:val="22"/>
        </w:rPr>
      </w:pPr>
      <w:r w:rsidRPr="004556A2">
        <w:rPr>
          <w:rFonts w:asciiTheme="minorHAnsi" w:hAnsiTheme="minorHAnsi" w:cstheme="minorHAnsi"/>
          <w:sz w:val="22"/>
          <w:szCs w:val="22"/>
        </w:rPr>
        <w:t>Improve quality of teaching and learning throughout the Academy</w:t>
      </w:r>
      <w:r w:rsidR="00AD721F" w:rsidRPr="004556A2">
        <w:rPr>
          <w:rFonts w:asciiTheme="minorHAnsi" w:hAnsiTheme="minorHAnsi" w:cstheme="minorHAnsi"/>
          <w:sz w:val="22"/>
          <w:szCs w:val="22"/>
        </w:rPr>
        <w:t>.</w:t>
      </w:r>
    </w:p>
    <w:p w14:paraId="69E82853" w14:textId="77777777" w:rsidR="00BF0F6D" w:rsidRPr="004556A2" w:rsidRDefault="00BF0F6D" w:rsidP="00BF0F6D">
      <w:pPr>
        <w:pStyle w:val="TextStdInput"/>
        <w:numPr>
          <w:ilvl w:val="0"/>
          <w:numId w:val="2"/>
        </w:numPr>
        <w:tabs>
          <w:tab w:val="clear" w:pos="1152"/>
        </w:tabs>
        <w:rPr>
          <w:rFonts w:asciiTheme="minorHAnsi" w:hAnsiTheme="minorHAnsi" w:cstheme="minorHAnsi"/>
          <w:sz w:val="22"/>
          <w:szCs w:val="22"/>
        </w:rPr>
      </w:pPr>
      <w:r w:rsidRPr="004556A2">
        <w:rPr>
          <w:rFonts w:asciiTheme="minorHAnsi" w:hAnsiTheme="minorHAnsi" w:cstheme="minorHAnsi"/>
          <w:sz w:val="22"/>
          <w:szCs w:val="22"/>
        </w:rPr>
        <w:t>Develop effective systems for identifying underperformance through tracking pupil progress and attainment in order to raise standards in core subjects</w:t>
      </w:r>
    </w:p>
    <w:p w14:paraId="0A5FE5DA" w14:textId="77777777" w:rsidR="00BF0F6D" w:rsidRPr="004556A2" w:rsidRDefault="00BF0F6D" w:rsidP="00BF0F6D">
      <w:pPr>
        <w:pStyle w:val="TextStdInput"/>
        <w:numPr>
          <w:ilvl w:val="0"/>
          <w:numId w:val="2"/>
        </w:numPr>
        <w:tabs>
          <w:tab w:val="clear" w:pos="1152"/>
        </w:tabs>
        <w:rPr>
          <w:rFonts w:asciiTheme="minorHAnsi" w:hAnsiTheme="minorHAnsi" w:cstheme="minorHAnsi"/>
          <w:sz w:val="22"/>
          <w:szCs w:val="22"/>
        </w:rPr>
      </w:pPr>
      <w:r w:rsidRPr="004556A2">
        <w:rPr>
          <w:rFonts w:asciiTheme="minorHAnsi" w:hAnsiTheme="minorHAnsi" w:cstheme="minorHAnsi"/>
          <w:sz w:val="22"/>
          <w:szCs w:val="22"/>
        </w:rPr>
        <w:t>Eliminate barriers to pupils learning by improving attendance</w:t>
      </w:r>
    </w:p>
    <w:p w14:paraId="1C018CAD" w14:textId="77777777" w:rsidR="00BF0F6D" w:rsidRPr="004556A2" w:rsidRDefault="00BF0F6D" w:rsidP="00BF0F6D">
      <w:pPr>
        <w:pStyle w:val="TextStdInput"/>
        <w:numPr>
          <w:ilvl w:val="0"/>
          <w:numId w:val="2"/>
        </w:numPr>
        <w:tabs>
          <w:tab w:val="clear" w:pos="1152"/>
        </w:tabs>
        <w:rPr>
          <w:rFonts w:asciiTheme="minorHAnsi" w:hAnsiTheme="minorHAnsi" w:cstheme="minorHAnsi"/>
          <w:sz w:val="22"/>
          <w:szCs w:val="22"/>
        </w:rPr>
      </w:pPr>
      <w:r w:rsidRPr="004556A2">
        <w:rPr>
          <w:rFonts w:asciiTheme="minorHAnsi" w:hAnsiTheme="minorHAnsi" w:cstheme="minorHAnsi"/>
          <w:sz w:val="22"/>
          <w:szCs w:val="22"/>
        </w:rPr>
        <w:t>Improve the conduct of pupils and their attitudes to learning</w:t>
      </w:r>
    </w:p>
    <w:p w14:paraId="027E9055" w14:textId="77777777" w:rsidR="00BF0F6D" w:rsidRPr="000D61B9" w:rsidRDefault="00BF0F6D" w:rsidP="00BF0F6D">
      <w:pPr>
        <w:pStyle w:val="TextStdInput"/>
        <w:numPr>
          <w:ilvl w:val="0"/>
          <w:numId w:val="2"/>
        </w:numPr>
        <w:tabs>
          <w:tab w:val="clear" w:pos="1152"/>
        </w:tabs>
        <w:rPr>
          <w:rFonts w:asciiTheme="minorHAnsi" w:hAnsiTheme="minorHAnsi" w:cstheme="minorHAnsi"/>
          <w:sz w:val="22"/>
          <w:szCs w:val="22"/>
        </w:rPr>
      </w:pPr>
      <w:r w:rsidRPr="000D61B9">
        <w:rPr>
          <w:rFonts w:asciiTheme="minorHAnsi" w:hAnsiTheme="minorHAnsi" w:cstheme="minorHAnsi"/>
          <w:sz w:val="22"/>
          <w:szCs w:val="22"/>
        </w:rPr>
        <w:lastRenderedPageBreak/>
        <w:t>Development of a robust and effective home learning system to enable pupils to sustain their learning when not in school</w:t>
      </w:r>
    </w:p>
    <w:p w14:paraId="4C73CB4B" w14:textId="41D9D4E3" w:rsidR="00BF0F6D" w:rsidRPr="000D61B9" w:rsidRDefault="00BF0F6D" w:rsidP="00BF0F6D">
      <w:pPr>
        <w:pStyle w:val="TextStdInput"/>
        <w:numPr>
          <w:ilvl w:val="0"/>
          <w:numId w:val="2"/>
        </w:numPr>
        <w:tabs>
          <w:tab w:val="clear" w:pos="1152"/>
        </w:tabs>
        <w:rPr>
          <w:rFonts w:asciiTheme="minorHAnsi" w:hAnsiTheme="minorHAnsi" w:cstheme="minorHAnsi"/>
          <w:sz w:val="22"/>
          <w:szCs w:val="22"/>
        </w:rPr>
      </w:pPr>
      <w:r w:rsidRPr="000D61B9">
        <w:rPr>
          <w:rFonts w:asciiTheme="minorHAnsi" w:hAnsiTheme="minorHAnsi" w:cstheme="minorHAnsi"/>
          <w:sz w:val="22"/>
          <w:szCs w:val="22"/>
        </w:rPr>
        <w:t>Close gaps in learning through accelerating progress and attainment of disadvantaged</w:t>
      </w:r>
      <w:r w:rsidR="00374E4C">
        <w:rPr>
          <w:rFonts w:asciiTheme="minorHAnsi" w:hAnsiTheme="minorHAnsi" w:cstheme="minorHAnsi"/>
          <w:sz w:val="22"/>
          <w:szCs w:val="22"/>
        </w:rPr>
        <w:t xml:space="preserve"> </w:t>
      </w:r>
      <w:r w:rsidRPr="000D61B9">
        <w:rPr>
          <w:rFonts w:asciiTheme="minorHAnsi" w:hAnsiTheme="minorHAnsi" w:cstheme="minorHAnsi"/>
          <w:sz w:val="22"/>
          <w:szCs w:val="22"/>
        </w:rPr>
        <w:t>pupils implementation of Pupil Premium Grant</w:t>
      </w:r>
      <w:r w:rsidR="00AD721F">
        <w:rPr>
          <w:rFonts w:asciiTheme="minorHAnsi" w:hAnsiTheme="minorHAnsi" w:cstheme="minorHAnsi"/>
          <w:sz w:val="22"/>
          <w:szCs w:val="22"/>
        </w:rPr>
        <w:t>.</w:t>
      </w:r>
    </w:p>
    <w:p w14:paraId="114AE1DB" w14:textId="40544B4A" w:rsidR="00BF0F6D" w:rsidRPr="000D61B9" w:rsidRDefault="00BF0F6D" w:rsidP="00BF0F6D">
      <w:pPr>
        <w:pStyle w:val="TextStdInput"/>
        <w:numPr>
          <w:ilvl w:val="0"/>
          <w:numId w:val="2"/>
        </w:numPr>
        <w:tabs>
          <w:tab w:val="clear" w:pos="1152"/>
        </w:tabs>
        <w:rPr>
          <w:rFonts w:asciiTheme="minorHAnsi" w:hAnsiTheme="minorHAnsi" w:cstheme="minorHAnsi"/>
          <w:sz w:val="22"/>
          <w:szCs w:val="22"/>
        </w:rPr>
      </w:pPr>
      <w:r w:rsidRPr="000D61B9">
        <w:rPr>
          <w:rFonts w:asciiTheme="minorHAnsi" w:hAnsiTheme="minorHAnsi" w:cstheme="minorHAnsi"/>
          <w:sz w:val="22"/>
          <w:szCs w:val="22"/>
        </w:rPr>
        <w:t>Close gaps in learning through accelerating progress and attainment of SEND pupils</w:t>
      </w:r>
      <w:r w:rsidR="00AD721F">
        <w:rPr>
          <w:rFonts w:asciiTheme="minorHAnsi" w:hAnsiTheme="minorHAnsi" w:cstheme="minorHAnsi"/>
          <w:sz w:val="22"/>
          <w:szCs w:val="22"/>
        </w:rPr>
        <w:t>.</w:t>
      </w:r>
    </w:p>
    <w:p w14:paraId="5618E48F" w14:textId="2BF6EAC5" w:rsidR="00BF0F6D" w:rsidRPr="00B523CE" w:rsidRDefault="00BF0F6D" w:rsidP="00BF0F6D">
      <w:pPr>
        <w:pStyle w:val="TextStdInput"/>
        <w:numPr>
          <w:ilvl w:val="0"/>
          <w:numId w:val="2"/>
        </w:numPr>
        <w:tabs>
          <w:tab w:val="clear" w:pos="1152"/>
        </w:tabs>
        <w:rPr>
          <w:rFonts w:asciiTheme="minorHAnsi" w:hAnsiTheme="minorHAnsi" w:cstheme="minorHAnsi"/>
          <w:sz w:val="22"/>
          <w:szCs w:val="22"/>
        </w:rPr>
      </w:pPr>
      <w:r w:rsidRPr="000D61B9">
        <w:rPr>
          <w:rFonts w:asciiTheme="minorHAnsi" w:hAnsiTheme="minorHAnsi" w:cstheme="minorHAnsi"/>
          <w:sz w:val="22"/>
          <w:szCs w:val="22"/>
        </w:rPr>
        <w:t>Ensure value for money for all expenditure of the school budget</w:t>
      </w:r>
      <w:r w:rsidR="00B523CE">
        <w:rPr>
          <w:rFonts w:asciiTheme="minorHAnsi" w:hAnsiTheme="minorHAnsi" w:cstheme="minorHAnsi"/>
          <w:sz w:val="22"/>
          <w:szCs w:val="22"/>
        </w:rPr>
        <w:t xml:space="preserve">. </w:t>
      </w:r>
      <w:r w:rsidRPr="00B523CE">
        <w:rPr>
          <w:rFonts w:asciiTheme="minorHAnsi" w:hAnsiTheme="minorHAnsi" w:cstheme="minorHAnsi"/>
          <w:sz w:val="22"/>
          <w:szCs w:val="22"/>
        </w:rPr>
        <w:t xml:space="preserve">The Academy has set a balanced budget for </w:t>
      </w:r>
      <w:r w:rsidRPr="00B523CE">
        <w:rPr>
          <w:rFonts w:asciiTheme="minorHAnsi" w:hAnsiTheme="minorHAnsi" w:cstheme="minorHAnsi"/>
          <w:color w:val="000000" w:themeColor="text1"/>
          <w:sz w:val="22"/>
          <w:szCs w:val="22"/>
        </w:rPr>
        <w:t>2020/21</w:t>
      </w:r>
      <w:r w:rsidRPr="00B523CE">
        <w:rPr>
          <w:rFonts w:asciiTheme="minorHAnsi" w:hAnsiTheme="minorHAnsi" w:cstheme="minorHAnsi"/>
          <w:sz w:val="22"/>
          <w:szCs w:val="22"/>
        </w:rPr>
        <w:t>.</w:t>
      </w:r>
    </w:p>
    <w:p w14:paraId="6F9B933F" w14:textId="77777777" w:rsidR="00BF0F6D" w:rsidRDefault="00BF0F6D" w:rsidP="0072140C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14:paraId="58F412B6" w14:textId="7479616D" w:rsidR="0072140C" w:rsidRPr="0072140C" w:rsidRDefault="0072140C" w:rsidP="0072140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72140C">
        <w:rPr>
          <w:rFonts w:ascii="Calibri" w:hAnsi="Calibri" w:cs="Calibri"/>
          <w:b/>
          <w:bCs/>
          <w:color w:val="000000"/>
        </w:rPr>
        <w:t xml:space="preserve">VISION AND MISSION STATEMENT </w:t>
      </w:r>
    </w:p>
    <w:p w14:paraId="23EA85E2" w14:textId="77777777" w:rsidR="0072140C" w:rsidRPr="0051590C" w:rsidRDefault="0072140C" w:rsidP="0072140C">
      <w:pP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en-GB"/>
        </w:rPr>
      </w:pPr>
      <w:r w:rsidRPr="003150DE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en-GB"/>
        </w:rPr>
        <w:t>A happy, successful, safe environment where learning and achievement are valued and children prepare to become confident global citizens. A place where learners are taught to make informed choices and to be responsible for their own actions. A school at the heart of the local community.</w:t>
      </w:r>
    </w:p>
    <w:p w14:paraId="032660C8" w14:textId="77777777" w:rsidR="000D61B9" w:rsidRDefault="000D61B9" w:rsidP="0051048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14:paraId="4FD68196" w14:textId="40F49C8B" w:rsidR="0051048E" w:rsidRPr="00791671" w:rsidRDefault="00791671" w:rsidP="0051048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 w:rsidRPr="00791671">
        <w:rPr>
          <w:rFonts w:ascii="Calibri" w:hAnsi="Calibri" w:cs="Calibri"/>
          <w:b/>
          <w:bCs/>
          <w:color w:val="000000"/>
        </w:rPr>
        <w:t>CURRICULUM</w:t>
      </w:r>
    </w:p>
    <w:p w14:paraId="73362557" w14:textId="304FA669" w:rsidR="0051048E" w:rsidRDefault="0051048E" w:rsidP="0051048E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 w:rsidRPr="0072140C">
        <w:rPr>
          <w:rFonts w:ascii="Calibri" w:hAnsi="Calibri" w:cs="Calibri"/>
          <w:color w:val="000000"/>
          <w:sz w:val="23"/>
          <w:szCs w:val="23"/>
        </w:rPr>
        <w:t>The school operates a one-week timetable with a school day of five lessons. Specialist teachers</w:t>
      </w:r>
      <w:r w:rsidR="00AD721F">
        <w:rPr>
          <w:rFonts w:ascii="Calibri" w:hAnsi="Calibri" w:cs="Calibri"/>
          <w:color w:val="000000"/>
          <w:sz w:val="23"/>
          <w:szCs w:val="23"/>
        </w:rPr>
        <w:t xml:space="preserve"> deliver lessons within their subject area. There is a whole school focus on every teacher providing quality first provision and being a teacher of reading.</w:t>
      </w:r>
    </w:p>
    <w:p w14:paraId="21B7D6E4" w14:textId="77777777" w:rsidR="0051048E" w:rsidRDefault="0051048E" w:rsidP="0051048E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</w:p>
    <w:p w14:paraId="74F1E6C5" w14:textId="2E1EE24C" w:rsidR="0051048E" w:rsidRDefault="00AD721F" w:rsidP="0051048E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 w:rsidRPr="004556A2">
        <w:rPr>
          <w:rFonts w:ascii="Calibri" w:hAnsi="Calibri" w:cs="Calibri"/>
          <w:color w:val="000000"/>
          <w:sz w:val="23"/>
          <w:szCs w:val="23"/>
        </w:rPr>
        <w:t>Current p</w:t>
      </w:r>
      <w:r w:rsidR="0051048E" w:rsidRPr="0072140C">
        <w:rPr>
          <w:rFonts w:ascii="Calibri" w:hAnsi="Calibri" w:cs="Calibri"/>
          <w:color w:val="000000"/>
          <w:sz w:val="23"/>
          <w:szCs w:val="23"/>
        </w:rPr>
        <w:t>rogress of pupils is good from entry to exit</w:t>
      </w:r>
      <w:r w:rsidR="004556A2">
        <w:rPr>
          <w:rFonts w:ascii="Calibri" w:hAnsi="Calibri" w:cs="Calibri"/>
          <w:color w:val="000000"/>
          <w:sz w:val="23"/>
          <w:szCs w:val="23"/>
        </w:rPr>
        <w:t>, given the starting points of pupils assessed on entry</w:t>
      </w:r>
      <w:r w:rsidR="0051048E" w:rsidRPr="0072140C">
        <w:rPr>
          <w:rFonts w:ascii="Calibri" w:hAnsi="Calibri" w:cs="Calibri"/>
          <w:color w:val="000000"/>
          <w:sz w:val="23"/>
          <w:szCs w:val="23"/>
        </w:rPr>
        <w:t>. We do, however strive for even greater success year on year.</w:t>
      </w:r>
    </w:p>
    <w:p w14:paraId="5B09D31A" w14:textId="77777777" w:rsidR="0051048E" w:rsidRPr="0072140C" w:rsidRDefault="0051048E" w:rsidP="0051048E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</w:p>
    <w:p w14:paraId="5F310AB0" w14:textId="77777777" w:rsidR="008F4E98" w:rsidRDefault="008F4E98" w:rsidP="008F4E98">
      <w:pPr>
        <w:pStyle w:val="spacer10"/>
        <w:rPr>
          <w:b/>
        </w:rPr>
      </w:pPr>
      <w:r w:rsidRPr="00A50254">
        <w:rPr>
          <w:b/>
        </w:rPr>
        <w:t>Achievements and performance</w:t>
      </w:r>
    </w:p>
    <w:p w14:paraId="7773DEC5" w14:textId="77777777" w:rsidR="008F4E98" w:rsidRPr="00A50254" w:rsidRDefault="008F4E98" w:rsidP="008F4E98">
      <w:pPr>
        <w:pStyle w:val="spacer10"/>
        <w:rPr>
          <w:b/>
        </w:rPr>
      </w:pPr>
    </w:p>
    <w:p w14:paraId="33362DCB" w14:textId="77777777" w:rsidR="008F4E98" w:rsidRDefault="008F4E98" w:rsidP="008F4E98">
      <w:pPr>
        <w:pStyle w:val="NotesSubHead"/>
        <w:jc w:val="center"/>
      </w:pPr>
      <w:r w:rsidRPr="00E75FD4">
        <w:t xml:space="preserve">Key Stage 2 </w:t>
      </w:r>
      <w:r>
        <w:t>School Progress Score (2017</w:t>
      </w:r>
      <w:r w:rsidRPr="00E75FD4">
        <w:t xml:space="preserve"> –</w:t>
      </w:r>
      <w:r>
        <w:t xml:space="preserve"> 2019</w:t>
      </w:r>
      <w:r w:rsidRPr="00E75FD4">
        <w:t>)</w:t>
      </w:r>
    </w:p>
    <w:p w14:paraId="408792E6" w14:textId="77777777" w:rsidR="008F4E98" w:rsidRDefault="008F4E98" w:rsidP="008F4E98">
      <w:pPr>
        <w:pStyle w:val="NotesSubHead"/>
        <w:jc w:val="center"/>
      </w:pPr>
    </w:p>
    <w:tbl>
      <w:tblPr>
        <w:tblStyle w:val="TableGrid"/>
        <w:tblW w:w="0" w:type="auto"/>
        <w:tblInd w:w="144" w:type="dxa"/>
        <w:tblLook w:val="04A0" w:firstRow="1" w:lastRow="0" w:firstColumn="1" w:lastColumn="0" w:noHBand="0" w:noVBand="1"/>
      </w:tblPr>
      <w:tblGrid>
        <w:gridCol w:w="2563"/>
        <w:gridCol w:w="1939"/>
        <w:gridCol w:w="2182"/>
        <w:gridCol w:w="2182"/>
      </w:tblGrid>
      <w:tr w:rsidR="008F4E98" w14:paraId="75032877" w14:textId="77777777" w:rsidTr="00214DB8">
        <w:trPr>
          <w:trHeight w:val="235"/>
        </w:trPr>
        <w:tc>
          <w:tcPr>
            <w:tcW w:w="2780" w:type="dxa"/>
          </w:tcPr>
          <w:p w14:paraId="2C1B4657" w14:textId="77777777" w:rsidR="008F4E98" w:rsidRDefault="008F4E98" w:rsidP="00214DB8">
            <w:pPr>
              <w:pStyle w:val="NotesSubHead"/>
              <w:ind w:left="0" w:firstLine="0"/>
              <w:jc w:val="center"/>
            </w:pPr>
            <w:r>
              <w:t>Progress Score at expected</w:t>
            </w:r>
          </w:p>
        </w:tc>
        <w:tc>
          <w:tcPr>
            <w:tcW w:w="2182" w:type="dxa"/>
          </w:tcPr>
          <w:p w14:paraId="2D6647B5" w14:textId="77777777" w:rsidR="008F4E98" w:rsidRDefault="008F4E98" w:rsidP="00214DB8">
            <w:pPr>
              <w:pStyle w:val="NotesSubHead"/>
              <w:ind w:left="0" w:firstLine="0"/>
              <w:jc w:val="center"/>
            </w:pPr>
            <w:r>
              <w:t>2017</w:t>
            </w:r>
          </w:p>
        </w:tc>
        <w:tc>
          <w:tcPr>
            <w:tcW w:w="2471" w:type="dxa"/>
          </w:tcPr>
          <w:p w14:paraId="47D9A4E6" w14:textId="77777777" w:rsidR="008F4E98" w:rsidRDefault="008F4E98" w:rsidP="00214DB8">
            <w:pPr>
              <w:pStyle w:val="NotesSubHead"/>
              <w:ind w:left="0" w:firstLine="0"/>
              <w:jc w:val="center"/>
            </w:pPr>
            <w:r>
              <w:t>2018</w:t>
            </w:r>
          </w:p>
        </w:tc>
        <w:tc>
          <w:tcPr>
            <w:tcW w:w="2471" w:type="dxa"/>
          </w:tcPr>
          <w:p w14:paraId="0397E399" w14:textId="77777777" w:rsidR="008F4E98" w:rsidRDefault="008F4E98" w:rsidP="00214DB8">
            <w:pPr>
              <w:pStyle w:val="NotesSubHead"/>
              <w:ind w:left="0" w:firstLine="0"/>
              <w:jc w:val="center"/>
            </w:pPr>
            <w:r>
              <w:t>2019</w:t>
            </w:r>
          </w:p>
        </w:tc>
      </w:tr>
      <w:tr w:rsidR="008F4E98" w14:paraId="12DDCB9C" w14:textId="77777777" w:rsidTr="00214DB8">
        <w:trPr>
          <w:trHeight w:val="245"/>
        </w:trPr>
        <w:tc>
          <w:tcPr>
            <w:tcW w:w="2780" w:type="dxa"/>
          </w:tcPr>
          <w:p w14:paraId="15344CCD" w14:textId="77777777" w:rsidR="008F4E98" w:rsidRDefault="008F4E98" w:rsidP="00214DB8">
            <w:pPr>
              <w:pStyle w:val="NotesSubHead"/>
              <w:ind w:left="0" w:firstLine="0"/>
            </w:pPr>
            <w:r>
              <w:t xml:space="preserve">Reading </w:t>
            </w:r>
          </w:p>
        </w:tc>
        <w:tc>
          <w:tcPr>
            <w:tcW w:w="2182" w:type="dxa"/>
          </w:tcPr>
          <w:p w14:paraId="127319C9" w14:textId="77777777" w:rsidR="008F4E98" w:rsidRDefault="008F4E98" w:rsidP="00214DB8">
            <w:pPr>
              <w:pStyle w:val="NotesSubHead"/>
              <w:ind w:left="0" w:firstLine="0"/>
              <w:jc w:val="center"/>
            </w:pPr>
            <w:r>
              <w:t>-4.4</w:t>
            </w:r>
          </w:p>
        </w:tc>
        <w:tc>
          <w:tcPr>
            <w:tcW w:w="2471" w:type="dxa"/>
          </w:tcPr>
          <w:p w14:paraId="64B0E82B" w14:textId="77777777" w:rsidR="008F4E98" w:rsidRDefault="008F4E98" w:rsidP="00214DB8">
            <w:pPr>
              <w:pStyle w:val="NotesSubHead"/>
              <w:ind w:left="0" w:firstLine="0"/>
              <w:jc w:val="center"/>
            </w:pPr>
            <w:r>
              <w:t>-3.7</w:t>
            </w:r>
          </w:p>
        </w:tc>
        <w:tc>
          <w:tcPr>
            <w:tcW w:w="2471" w:type="dxa"/>
          </w:tcPr>
          <w:p w14:paraId="71C7A3A4" w14:textId="77777777" w:rsidR="008F4E98" w:rsidRDefault="008F4E98" w:rsidP="00214DB8">
            <w:pPr>
              <w:pStyle w:val="NotesSubHead"/>
              <w:ind w:left="0" w:firstLine="0"/>
              <w:jc w:val="center"/>
            </w:pPr>
            <w:r>
              <w:t>-1.6</w:t>
            </w:r>
          </w:p>
        </w:tc>
      </w:tr>
      <w:tr w:rsidR="008F4E98" w14:paraId="7B321EDE" w14:textId="77777777" w:rsidTr="00214DB8">
        <w:trPr>
          <w:trHeight w:val="480"/>
        </w:trPr>
        <w:tc>
          <w:tcPr>
            <w:tcW w:w="2780" w:type="dxa"/>
          </w:tcPr>
          <w:p w14:paraId="61D8CB0E" w14:textId="77777777" w:rsidR="008F4E98" w:rsidRDefault="008F4E98" w:rsidP="00214DB8">
            <w:pPr>
              <w:pStyle w:val="NotesSubHead"/>
              <w:ind w:left="0" w:firstLine="0"/>
            </w:pPr>
            <w:r>
              <w:t>Writing</w:t>
            </w:r>
          </w:p>
        </w:tc>
        <w:tc>
          <w:tcPr>
            <w:tcW w:w="2182" w:type="dxa"/>
          </w:tcPr>
          <w:p w14:paraId="54F2B871" w14:textId="77777777" w:rsidR="008F4E98" w:rsidRDefault="008F4E98" w:rsidP="00214DB8">
            <w:pPr>
              <w:pStyle w:val="NotesSubHead"/>
              <w:ind w:left="0" w:firstLine="0"/>
              <w:jc w:val="center"/>
            </w:pPr>
            <w:r>
              <w:t>-4.5</w:t>
            </w:r>
          </w:p>
        </w:tc>
        <w:tc>
          <w:tcPr>
            <w:tcW w:w="2471" w:type="dxa"/>
          </w:tcPr>
          <w:p w14:paraId="7E9AB784" w14:textId="77777777" w:rsidR="008F4E98" w:rsidRDefault="008F4E98" w:rsidP="00214DB8">
            <w:pPr>
              <w:pStyle w:val="NotesSubHead"/>
              <w:ind w:left="0" w:firstLine="0"/>
              <w:jc w:val="center"/>
            </w:pPr>
            <w:r>
              <w:t>-3.8</w:t>
            </w:r>
          </w:p>
        </w:tc>
        <w:tc>
          <w:tcPr>
            <w:tcW w:w="2471" w:type="dxa"/>
          </w:tcPr>
          <w:p w14:paraId="107F3572" w14:textId="77777777" w:rsidR="008F4E98" w:rsidRDefault="008F4E98" w:rsidP="00214DB8">
            <w:pPr>
              <w:pStyle w:val="NotesSubHead"/>
              <w:ind w:left="0" w:firstLine="0"/>
              <w:jc w:val="center"/>
            </w:pPr>
            <w:r>
              <w:t>-2.4</w:t>
            </w:r>
          </w:p>
        </w:tc>
      </w:tr>
      <w:tr w:rsidR="008F4E98" w14:paraId="7D621B08" w14:textId="77777777" w:rsidTr="00214DB8">
        <w:trPr>
          <w:trHeight w:val="245"/>
        </w:trPr>
        <w:tc>
          <w:tcPr>
            <w:tcW w:w="2780" w:type="dxa"/>
          </w:tcPr>
          <w:p w14:paraId="4CD71D4A" w14:textId="77777777" w:rsidR="008F4E98" w:rsidRDefault="008F4E98" w:rsidP="00214DB8">
            <w:pPr>
              <w:pStyle w:val="NotesSubHead"/>
              <w:ind w:left="0" w:firstLine="0"/>
            </w:pPr>
            <w:r>
              <w:t>Mathematics</w:t>
            </w:r>
          </w:p>
        </w:tc>
        <w:tc>
          <w:tcPr>
            <w:tcW w:w="2182" w:type="dxa"/>
          </w:tcPr>
          <w:p w14:paraId="738B766C" w14:textId="77777777" w:rsidR="008F4E98" w:rsidRDefault="008F4E98" w:rsidP="00214DB8">
            <w:pPr>
              <w:pStyle w:val="NotesSubHead"/>
              <w:ind w:left="0" w:firstLine="0"/>
              <w:jc w:val="center"/>
            </w:pPr>
            <w:r>
              <w:t>-4.8</w:t>
            </w:r>
          </w:p>
        </w:tc>
        <w:tc>
          <w:tcPr>
            <w:tcW w:w="2471" w:type="dxa"/>
          </w:tcPr>
          <w:p w14:paraId="484B0592" w14:textId="77777777" w:rsidR="008F4E98" w:rsidRDefault="008F4E98" w:rsidP="00214DB8">
            <w:pPr>
              <w:pStyle w:val="NotesSubHead"/>
              <w:ind w:left="0" w:firstLine="0"/>
              <w:jc w:val="center"/>
            </w:pPr>
            <w:r>
              <w:t>-3.8</w:t>
            </w:r>
          </w:p>
        </w:tc>
        <w:tc>
          <w:tcPr>
            <w:tcW w:w="2471" w:type="dxa"/>
          </w:tcPr>
          <w:p w14:paraId="01218118" w14:textId="77777777" w:rsidR="008F4E98" w:rsidRDefault="008F4E98" w:rsidP="00214DB8">
            <w:pPr>
              <w:pStyle w:val="NotesSubHead"/>
              <w:ind w:left="0" w:firstLine="0"/>
              <w:jc w:val="center"/>
            </w:pPr>
            <w:r>
              <w:t>-3.1</w:t>
            </w:r>
          </w:p>
        </w:tc>
      </w:tr>
    </w:tbl>
    <w:p w14:paraId="37B3ED48" w14:textId="77777777" w:rsidR="008F4E98" w:rsidRPr="00ED01FC" w:rsidRDefault="008F4E98" w:rsidP="008F4E98">
      <w:pPr>
        <w:pStyle w:val="NotesSubHead"/>
        <w:rPr>
          <w:b w:val="0"/>
        </w:rPr>
      </w:pPr>
    </w:p>
    <w:p w14:paraId="0CA2AD6A" w14:textId="77777777" w:rsidR="008F4E98" w:rsidRDefault="008F4E98" w:rsidP="008F4E98">
      <w:pPr>
        <w:pStyle w:val="NotesSubHead"/>
        <w:rPr>
          <w:b w:val="0"/>
        </w:rPr>
      </w:pPr>
    </w:p>
    <w:p w14:paraId="57E36F35" w14:textId="77777777" w:rsidR="008F4E98" w:rsidRDefault="008F4E98" w:rsidP="008F4E98">
      <w:pPr>
        <w:pStyle w:val="NotesSubHead"/>
        <w:ind w:left="0" w:firstLine="0"/>
        <w:jc w:val="center"/>
        <w:rPr>
          <w:b w:val="0"/>
        </w:rPr>
      </w:pPr>
      <w:r>
        <w:rPr>
          <w:b w:val="0"/>
        </w:rPr>
        <w:t>KS2 Expected+ 2018 - 2020</w:t>
      </w:r>
    </w:p>
    <w:tbl>
      <w:tblPr>
        <w:tblStyle w:val="TableGrid"/>
        <w:tblW w:w="0" w:type="auto"/>
        <w:tblInd w:w="144" w:type="dxa"/>
        <w:tblLook w:val="04A0" w:firstRow="1" w:lastRow="0" w:firstColumn="1" w:lastColumn="0" w:noHBand="0" w:noVBand="1"/>
      </w:tblPr>
      <w:tblGrid>
        <w:gridCol w:w="1396"/>
        <w:gridCol w:w="1244"/>
        <w:gridCol w:w="1263"/>
        <w:gridCol w:w="1222"/>
        <w:gridCol w:w="1262"/>
        <w:gridCol w:w="1222"/>
        <w:gridCol w:w="1262"/>
      </w:tblGrid>
      <w:tr w:rsidR="008F4E98" w14:paraId="04E58D06" w14:textId="77777777" w:rsidTr="00214DB8">
        <w:tc>
          <w:tcPr>
            <w:tcW w:w="1420" w:type="dxa"/>
            <w:tcBorders>
              <w:top w:val="nil"/>
              <w:left w:val="nil"/>
            </w:tcBorders>
          </w:tcPr>
          <w:p w14:paraId="4B2E2AD5" w14:textId="77777777" w:rsidR="008F4E98" w:rsidRDefault="008F4E98" w:rsidP="00214DB8">
            <w:pPr>
              <w:pStyle w:val="NotesSubHead"/>
              <w:ind w:left="0" w:firstLine="0"/>
              <w:rPr>
                <w:b w:val="0"/>
              </w:rPr>
            </w:pPr>
          </w:p>
        </w:tc>
        <w:tc>
          <w:tcPr>
            <w:tcW w:w="2840" w:type="dxa"/>
            <w:gridSpan w:val="2"/>
          </w:tcPr>
          <w:p w14:paraId="452DFA68" w14:textId="77777777" w:rsidR="008F4E98" w:rsidRPr="00E75FD4" w:rsidRDefault="008F4E98" w:rsidP="00214DB8">
            <w:pPr>
              <w:pStyle w:val="NotesSubHead"/>
              <w:ind w:left="0" w:firstLine="0"/>
              <w:jc w:val="center"/>
            </w:pPr>
            <w:r w:rsidRPr="00E75FD4">
              <w:t>2020</w:t>
            </w:r>
          </w:p>
        </w:tc>
        <w:tc>
          <w:tcPr>
            <w:tcW w:w="2838" w:type="dxa"/>
            <w:gridSpan w:val="2"/>
          </w:tcPr>
          <w:p w14:paraId="0FEC3722" w14:textId="77777777" w:rsidR="008F4E98" w:rsidRPr="00E75FD4" w:rsidRDefault="008F4E98" w:rsidP="00214DB8">
            <w:pPr>
              <w:pStyle w:val="NotesSubHead"/>
              <w:ind w:left="0" w:firstLine="0"/>
              <w:jc w:val="center"/>
            </w:pPr>
            <w:r w:rsidRPr="00E75FD4">
              <w:t>2019</w:t>
            </w:r>
          </w:p>
        </w:tc>
        <w:tc>
          <w:tcPr>
            <w:tcW w:w="2838" w:type="dxa"/>
            <w:gridSpan w:val="2"/>
          </w:tcPr>
          <w:p w14:paraId="740BD489" w14:textId="77777777" w:rsidR="008F4E98" w:rsidRPr="00E75FD4" w:rsidRDefault="008F4E98" w:rsidP="00214DB8">
            <w:pPr>
              <w:pStyle w:val="NotesSubHead"/>
              <w:ind w:left="0" w:firstLine="0"/>
              <w:jc w:val="center"/>
            </w:pPr>
            <w:r w:rsidRPr="00E75FD4">
              <w:t>2018</w:t>
            </w:r>
          </w:p>
        </w:tc>
      </w:tr>
      <w:tr w:rsidR="008F4E98" w14:paraId="27D7F97C" w14:textId="77777777" w:rsidTr="00214DB8">
        <w:tc>
          <w:tcPr>
            <w:tcW w:w="1420" w:type="dxa"/>
          </w:tcPr>
          <w:p w14:paraId="755FDF64" w14:textId="77777777" w:rsidR="008F4E98" w:rsidRPr="00E75FD4" w:rsidRDefault="008F4E98" w:rsidP="00214DB8">
            <w:pPr>
              <w:pStyle w:val="NotesSubHead"/>
              <w:ind w:left="0" w:firstLine="0"/>
            </w:pPr>
            <w:r w:rsidRPr="00E75FD4">
              <w:t>Subject</w:t>
            </w:r>
          </w:p>
        </w:tc>
        <w:tc>
          <w:tcPr>
            <w:tcW w:w="1420" w:type="dxa"/>
          </w:tcPr>
          <w:p w14:paraId="7A09F2B7" w14:textId="77777777" w:rsidR="008F4E98" w:rsidRDefault="008F4E98" w:rsidP="00214DB8">
            <w:pPr>
              <w:pStyle w:val="NotesSubHead"/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 xml:space="preserve">School </w:t>
            </w:r>
            <w:r w:rsidRPr="00701E92">
              <w:rPr>
                <w:sz w:val="14"/>
                <w:szCs w:val="14"/>
              </w:rPr>
              <w:t>prediction</w:t>
            </w:r>
          </w:p>
        </w:tc>
        <w:tc>
          <w:tcPr>
            <w:tcW w:w="1420" w:type="dxa"/>
            <w:shd w:val="clear" w:color="auto" w:fill="D9E2F3" w:themeFill="accent1" w:themeFillTint="33"/>
          </w:tcPr>
          <w:p w14:paraId="6AB14C31" w14:textId="77777777" w:rsidR="008F4E98" w:rsidRDefault="008F4E98" w:rsidP="00214DB8">
            <w:pPr>
              <w:pStyle w:val="NotesSubHead"/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>National</w:t>
            </w:r>
          </w:p>
        </w:tc>
        <w:tc>
          <w:tcPr>
            <w:tcW w:w="1419" w:type="dxa"/>
          </w:tcPr>
          <w:p w14:paraId="2EC4DB6E" w14:textId="77777777" w:rsidR="008F4E98" w:rsidRDefault="008F4E98" w:rsidP="00214DB8">
            <w:pPr>
              <w:pStyle w:val="NotesSubHead"/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>School</w:t>
            </w:r>
          </w:p>
        </w:tc>
        <w:tc>
          <w:tcPr>
            <w:tcW w:w="1419" w:type="dxa"/>
          </w:tcPr>
          <w:p w14:paraId="5122C674" w14:textId="77777777" w:rsidR="008F4E98" w:rsidRDefault="008F4E98" w:rsidP="00214DB8">
            <w:pPr>
              <w:pStyle w:val="NotesSubHead"/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>National</w:t>
            </w:r>
          </w:p>
        </w:tc>
        <w:tc>
          <w:tcPr>
            <w:tcW w:w="1419" w:type="dxa"/>
          </w:tcPr>
          <w:p w14:paraId="3E243286" w14:textId="77777777" w:rsidR="008F4E98" w:rsidRDefault="008F4E98" w:rsidP="00214DB8">
            <w:pPr>
              <w:pStyle w:val="NotesSubHead"/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>School</w:t>
            </w:r>
          </w:p>
        </w:tc>
        <w:tc>
          <w:tcPr>
            <w:tcW w:w="1419" w:type="dxa"/>
          </w:tcPr>
          <w:p w14:paraId="0DB3051E" w14:textId="77777777" w:rsidR="008F4E98" w:rsidRDefault="008F4E98" w:rsidP="00214DB8">
            <w:pPr>
              <w:pStyle w:val="NotesSubHead"/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>National</w:t>
            </w:r>
          </w:p>
        </w:tc>
      </w:tr>
      <w:tr w:rsidR="008F4E98" w14:paraId="7F83B6AF" w14:textId="77777777" w:rsidTr="00214DB8">
        <w:tc>
          <w:tcPr>
            <w:tcW w:w="1420" w:type="dxa"/>
          </w:tcPr>
          <w:p w14:paraId="238ADC9F" w14:textId="77777777" w:rsidR="008F4E98" w:rsidRDefault="008F4E98" w:rsidP="00214DB8">
            <w:pPr>
              <w:pStyle w:val="NotesSubHead"/>
              <w:ind w:left="0" w:firstLine="0"/>
              <w:rPr>
                <w:b w:val="0"/>
              </w:rPr>
            </w:pPr>
            <w:r>
              <w:rPr>
                <w:b w:val="0"/>
              </w:rPr>
              <w:t>Reading</w:t>
            </w:r>
          </w:p>
        </w:tc>
        <w:tc>
          <w:tcPr>
            <w:tcW w:w="1420" w:type="dxa"/>
          </w:tcPr>
          <w:p w14:paraId="213E79AF" w14:textId="77777777" w:rsidR="008F4E98" w:rsidRDefault="008F4E98" w:rsidP="00214DB8">
            <w:pPr>
              <w:pStyle w:val="NotesSubHead"/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>52%</w:t>
            </w:r>
          </w:p>
        </w:tc>
        <w:tc>
          <w:tcPr>
            <w:tcW w:w="1420" w:type="dxa"/>
            <w:shd w:val="clear" w:color="auto" w:fill="D9E2F3" w:themeFill="accent1" w:themeFillTint="33"/>
          </w:tcPr>
          <w:p w14:paraId="74CEF1B5" w14:textId="77777777" w:rsidR="008F4E98" w:rsidRDefault="008F4E98" w:rsidP="00214DB8">
            <w:pPr>
              <w:pStyle w:val="NotesSubHead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1419" w:type="dxa"/>
          </w:tcPr>
          <w:p w14:paraId="421BA35E" w14:textId="77777777" w:rsidR="008F4E98" w:rsidRDefault="008F4E98" w:rsidP="00214DB8">
            <w:pPr>
              <w:pStyle w:val="NotesSubHead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1419" w:type="dxa"/>
          </w:tcPr>
          <w:p w14:paraId="3957154E" w14:textId="77777777" w:rsidR="008F4E98" w:rsidRDefault="008F4E98" w:rsidP="00214DB8">
            <w:pPr>
              <w:pStyle w:val="NotesSubHead"/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>73%</w:t>
            </w:r>
          </w:p>
        </w:tc>
        <w:tc>
          <w:tcPr>
            <w:tcW w:w="1419" w:type="dxa"/>
          </w:tcPr>
          <w:p w14:paraId="5CD9281A" w14:textId="77777777" w:rsidR="008F4E98" w:rsidRDefault="008F4E98" w:rsidP="00214DB8">
            <w:pPr>
              <w:pStyle w:val="NotesSubHead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1419" w:type="dxa"/>
          </w:tcPr>
          <w:p w14:paraId="11E45453" w14:textId="77777777" w:rsidR="008F4E98" w:rsidRDefault="008F4E98" w:rsidP="00214DB8">
            <w:pPr>
              <w:pStyle w:val="NotesSubHead"/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>75%</w:t>
            </w:r>
          </w:p>
        </w:tc>
      </w:tr>
      <w:tr w:rsidR="008F4E98" w14:paraId="6998A0AC" w14:textId="77777777" w:rsidTr="00214DB8">
        <w:tc>
          <w:tcPr>
            <w:tcW w:w="1420" w:type="dxa"/>
          </w:tcPr>
          <w:p w14:paraId="7B04632A" w14:textId="77777777" w:rsidR="008F4E98" w:rsidRDefault="008F4E98" w:rsidP="00214DB8">
            <w:pPr>
              <w:pStyle w:val="NotesSubHead"/>
              <w:ind w:left="0" w:firstLine="0"/>
              <w:rPr>
                <w:b w:val="0"/>
              </w:rPr>
            </w:pPr>
            <w:r>
              <w:rPr>
                <w:b w:val="0"/>
              </w:rPr>
              <w:t>Writing</w:t>
            </w:r>
          </w:p>
        </w:tc>
        <w:tc>
          <w:tcPr>
            <w:tcW w:w="1420" w:type="dxa"/>
          </w:tcPr>
          <w:p w14:paraId="725D2B61" w14:textId="77777777" w:rsidR="008F4E98" w:rsidRDefault="008F4E98" w:rsidP="00214DB8">
            <w:pPr>
              <w:pStyle w:val="NotesSubHead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1420" w:type="dxa"/>
            <w:shd w:val="clear" w:color="auto" w:fill="D9E2F3" w:themeFill="accent1" w:themeFillTint="33"/>
          </w:tcPr>
          <w:p w14:paraId="7B562271" w14:textId="77777777" w:rsidR="008F4E98" w:rsidRDefault="008F4E98" w:rsidP="00214DB8">
            <w:pPr>
              <w:pStyle w:val="NotesSubHead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1419" w:type="dxa"/>
          </w:tcPr>
          <w:p w14:paraId="32745325" w14:textId="77777777" w:rsidR="008F4E98" w:rsidRDefault="008F4E98" w:rsidP="00214DB8">
            <w:pPr>
              <w:pStyle w:val="NotesSubHead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1419" w:type="dxa"/>
          </w:tcPr>
          <w:p w14:paraId="33A6834A" w14:textId="77777777" w:rsidR="008F4E98" w:rsidRDefault="008F4E98" w:rsidP="00214DB8">
            <w:pPr>
              <w:pStyle w:val="NotesSubHead"/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>78%</w:t>
            </w:r>
          </w:p>
        </w:tc>
        <w:tc>
          <w:tcPr>
            <w:tcW w:w="1419" w:type="dxa"/>
          </w:tcPr>
          <w:p w14:paraId="1607875A" w14:textId="77777777" w:rsidR="008F4E98" w:rsidRDefault="008F4E98" w:rsidP="00214DB8">
            <w:pPr>
              <w:pStyle w:val="NotesSubHead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1419" w:type="dxa"/>
          </w:tcPr>
          <w:p w14:paraId="39E03687" w14:textId="77777777" w:rsidR="008F4E98" w:rsidRDefault="008F4E98" w:rsidP="00214DB8">
            <w:pPr>
              <w:pStyle w:val="NotesSubHead"/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>78%</w:t>
            </w:r>
          </w:p>
        </w:tc>
      </w:tr>
      <w:tr w:rsidR="008F4E98" w14:paraId="0AAC490B" w14:textId="77777777" w:rsidTr="00214DB8">
        <w:tc>
          <w:tcPr>
            <w:tcW w:w="1420" w:type="dxa"/>
          </w:tcPr>
          <w:p w14:paraId="1F58D934" w14:textId="77777777" w:rsidR="008F4E98" w:rsidRDefault="008F4E98" w:rsidP="00214DB8">
            <w:pPr>
              <w:pStyle w:val="NotesSubHead"/>
              <w:ind w:left="0" w:firstLine="0"/>
              <w:rPr>
                <w:b w:val="0"/>
              </w:rPr>
            </w:pPr>
            <w:r>
              <w:rPr>
                <w:b w:val="0"/>
              </w:rPr>
              <w:t>Mathematics</w:t>
            </w:r>
          </w:p>
        </w:tc>
        <w:tc>
          <w:tcPr>
            <w:tcW w:w="1420" w:type="dxa"/>
          </w:tcPr>
          <w:p w14:paraId="2E9156E4" w14:textId="77777777" w:rsidR="008F4E98" w:rsidRDefault="008F4E98" w:rsidP="00214DB8">
            <w:pPr>
              <w:pStyle w:val="NotesSubHead"/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>58%</w:t>
            </w:r>
          </w:p>
        </w:tc>
        <w:tc>
          <w:tcPr>
            <w:tcW w:w="1420" w:type="dxa"/>
            <w:shd w:val="clear" w:color="auto" w:fill="D9E2F3" w:themeFill="accent1" w:themeFillTint="33"/>
          </w:tcPr>
          <w:p w14:paraId="18BF28BF" w14:textId="77777777" w:rsidR="008F4E98" w:rsidRDefault="008F4E98" w:rsidP="00214DB8">
            <w:pPr>
              <w:pStyle w:val="NotesSubHead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1419" w:type="dxa"/>
          </w:tcPr>
          <w:p w14:paraId="788AD889" w14:textId="77777777" w:rsidR="008F4E98" w:rsidRDefault="008F4E98" w:rsidP="00214DB8">
            <w:pPr>
              <w:pStyle w:val="NotesSubHead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1419" w:type="dxa"/>
          </w:tcPr>
          <w:p w14:paraId="01A205F8" w14:textId="77777777" w:rsidR="008F4E98" w:rsidRDefault="008F4E98" w:rsidP="00214DB8">
            <w:pPr>
              <w:pStyle w:val="NotesSubHead"/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>79%</w:t>
            </w:r>
          </w:p>
        </w:tc>
        <w:tc>
          <w:tcPr>
            <w:tcW w:w="1419" w:type="dxa"/>
          </w:tcPr>
          <w:p w14:paraId="3FCBBADC" w14:textId="77777777" w:rsidR="008F4E98" w:rsidRDefault="008F4E98" w:rsidP="00214DB8">
            <w:pPr>
              <w:pStyle w:val="NotesSubHead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1419" w:type="dxa"/>
          </w:tcPr>
          <w:p w14:paraId="05CC5382" w14:textId="77777777" w:rsidR="008F4E98" w:rsidRDefault="008F4E98" w:rsidP="00214DB8">
            <w:pPr>
              <w:pStyle w:val="NotesSubHead"/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>76%</w:t>
            </w:r>
          </w:p>
        </w:tc>
      </w:tr>
      <w:tr w:rsidR="008F4E98" w14:paraId="0EFCD6DF" w14:textId="77777777" w:rsidTr="00214DB8">
        <w:tc>
          <w:tcPr>
            <w:tcW w:w="1420" w:type="dxa"/>
          </w:tcPr>
          <w:p w14:paraId="0E7AE1EC" w14:textId="77777777" w:rsidR="008F4E98" w:rsidRDefault="008F4E98" w:rsidP="00214DB8">
            <w:pPr>
              <w:pStyle w:val="NotesSubHead"/>
              <w:ind w:left="0" w:firstLine="0"/>
              <w:rPr>
                <w:b w:val="0"/>
              </w:rPr>
            </w:pPr>
            <w:r>
              <w:rPr>
                <w:b w:val="0"/>
              </w:rPr>
              <w:t>SPAG</w:t>
            </w:r>
          </w:p>
        </w:tc>
        <w:tc>
          <w:tcPr>
            <w:tcW w:w="1420" w:type="dxa"/>
          </w:tcPr>
          <w:p w14:paraId="1B39D3AF" w14:textId="77777777" w:rsidR="008F4E98" w:rsidRDefault="008F4E98" w:rsidP="00214DB8">
            <w:pPr>
              <w:pStyle w:val="NotesSubHead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1420" w:type="dxa"/>
            <w:shd w:val="clear" w:color="auto" w:fill="D9E2F3" w:themeFill="accent1" w:themeFillTint="33"/>
          </w:tcPr>
          <w:p w14:paraId="147A95DA" w14:textId="77777777" w:rsidR="008F4E98" w:rsidRDefault="008F4E98" w:rsidP="00214DB8">
            <w:pPr>
              <w:pStyle w:val="NotesSubHead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1419" w:type="dxa"/>
          </w:tcPr>
          <w:p w14:paraId="3DD3854B" w14:textId="77777777" w:rsidR="008F4E98" w:rsidRDefault="008F4E98" w:rsidP="00214DB8">
            <w:pPr>
              <w:pStyle w:val="NotesSubHead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1419" w:type="dxa"/>
          </w:tcPr>
          <w:p w14:paraId="76AD5174" w14:textId="77777777" w:rsidR="008F4E98" w:rsidRDefault="008F4E98" w:rsidP="00214DB8">
            <w:pPr>
              <w:pStyle w:val="NotesSubHead"/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>78%</w:t>
            </w:r>
          </w:p>
        </w:tc>
        <w:tc>
          <w:tcPr>
            <w:tcW w:w="1419" w:type="dxa"/>
          </w:tcPr>
          <w:p w14:paraId="721ACCB8" w14:textId="77777777" w:rsidR="008F4E98" w:rsidRDefault="008F4E98" w:rsidP="00214DB8">
            <w:pPr>
              <w:pStyle w:val="NotesSubHead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1419" w:type="dxa"/>
          </w:tcPr>
          <w:p w14:paraId="092C992C" w14:textId="77777777" w:rsidR="008F4E98" w:rsidRDefault="008F4E98" w:rsidP="00214DB8">
            <w:pPr>
              <w:pStyle w:val="NotesSubHead"/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>78%</w:t>
            </w:r>
          </w:p>
        </w:tc>
      </w:tr>
    </w:tbl>
    <w:p w14:paraId="35FA7AA0" w14:textId="77777777" w:rsidR="00385371" w:rsidRDefault="00385371" w:rsidP="0051048E">
      <w:pPr>
        <w:pStyle w:val="TextStdInput"/>
        <w:tabs>
          <w:tab w:val="clear" w:pos="1152"/>
        </w:tabs>
        <w:rPr>
          <w:rFonts w:ascii="Calibri" w:hAnsi="Calibri" w:cs="Calibri"/>
          <w:b/>
          <w:bCs/>
          <w:sz w:val="24"/>
          <w:szCs w:val="24"/>
        </w:rPr>
      </w:pPr>
    </w:p>
    <w:p w14:paraId="19A263ED" w14:textId="5143ED7B" w:rsidR="0051048E" w:rsidRDefault="0051048E" w:rsidP="0051048E">
      <w:pPr>
        <w:pStyle w:val="TextStdInput"/>
        <w:tabs>
          <w:tab w:val="clear" w:pos="1152"/>
        </w:tabs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FUTURE </w:t>
      </w:r>
      <w:r w:rsidR="00BF0F6D">
        <w:rPr>
          <w:rFonts w:ascii="Calibri" w:hAnsi="Calibri" w:cs="Calibri"/>
          <w:b/>
          <w:bCs/>
          <w:sz w:val="24"/>
          <w:szCs w:val="24"/>
        </w:rPr>
        <w:t>DIRECTION</w:t>
      </w:r>
    </w:p>
    <w:p w14:paraId="05E041E9" w14:textId="351CD25A" w:rsidR="0051048E" w:rsidRPr="00F82FAC" w:rsidRDefault="0051048E" w:rsidP="0051048E">
      <w:pPr>
        <w:pStyle w:val="TextStdInput"/>
        <w:tabs>
          <w:tab w:val="clear" w:pos="1152"/>
        </w:tabs>
        <w:rPr>
          <w:rFonts w:asciiTheme="minorHAnsi" w:hAnsiTheme="minorHAnsi" w:cstheme="minorHAnsi"/>
          <w:sz w:val="22"/>
          <w:szCs w:val="22"/>
        </w:rPr>
      </w:pPr>
      <w:r w:rsidRPr="00F82FAC">
        <w:rPr>
          <w:rFonts w:asciiTheme="minorHAnsi" w:hAnsiTheme="minorHAnsi" w:cstheme="minorHAnsi"/>
          <w:sz w:val="22"/>
          <w:szCs w:val="22"/>
        </w:rPr>
        <w:t xml:space="preserve">The Academy </w:t>
      </w:r>
      <w:r w:rsidR="00040C89">
        <w:rPr>
          <w:rFonts w:asciiTheme="minorHAnsi" w:hAnsiTheme="minorHAnsi" w:cstheme="minorHAnsi"/>
          <w:sz w:val="22"/>
          <w:szCs w:val="22"/>
        </w:rPr>
        <w:t xml:space="preserve">is seeking </w:t>
      </w:r>
      <w:r w:rsidRPr="00F82FAC">
        <w:rPr>
          <w:rFonts w:asciiTheme="minorHAnsi" w:hAnsiTheme="minorHAnsi" w:cstheme="minorHAnsi"/>
          <w:sz w:val="22"/>
          <w:szCs w:val="22"/>
        </w:rPr>
        <w:t xml:space="preserve">to become part of a </w:t>
      </w:r>
      <w:r w:rsidR="00BD52AC">
        <w:rPr>
          <w:rFonts w:asciiTheme="minorHAnsi" w:hAnsiTheme="minorHAnsi" w:cstheme="minorHAnsi"/>
          <w:sz w:val="22"/>
          <w:szCs w:val="22"/>
        </w:rPr>
        <w:t>Bordesley M</w:t>
      </w:r>
      <w:r w:rsidRPr="00F82FAC">
        <w:rPr>
          <w:rFonts w:asciiTheme="minorHAnsi" w:hAnsiTheme="minorHAnsi" w:cstheme="minorHAnsi"/>
          <w:sz w:val="22"/>
          <w:szCs w:val="22"/>
        </w:rPr>
        <w:t>ulti</w:t>
      </w:r>
      <w:r w:rsidR="00BD52AC">
        <w:rPr>
          <w:rFonts w:asciiTheme="minorHAnsi" w:hAnsiTheme="minorHAnsi" w:cstheme="minorHAnsi"/>
          <w:sz w:val="22"/>
          <w:szCs w:val="22"/>
        </w:rPr>
        <w:t xml:space="preserve"> A</w:t>
      </w:r>
      <w:r w:rsidRPr="00F82FAC">
        <w:rPr>
          <w:rFonts w:asciiTheme="minorHAnsi" w:hAnsiTheme="minorHAnsi" w:cstheme="minorHAnsi"/>
          <w:sz w:val="22"/>
          <w:szCs w:val="22"/>
        </w:rPr>
        <w:t xml:space="preserve">cademy </w:t>
      </w:r>
      <w:r w:rsidR="00BD52AC">
        <w:rPr>
          <w:rFonts w:asciiTheme="minorHAnsi" w:hAnsiTheme="minorHAnsi" w:cstheme="minorHAnsi"/>
          <w:sz w:val="22"/>
          <w:szCs w:val="22"/>
        </w:rPr>
        <w:t>T</w:t>
      </w:r>
      <w:r w:rsidRPr="00F82FAC">
        <w:rPr>
          <w:rFonts w:asciiTheme="minorHAnsi" w:hAnsiTheme="minorHAnsi" w:cstheme="minorHAnsi"/>
          <w:sz w:val="22"/>
          <w:szCs w:val="22"/>
        </w:rPr>
        <w:t xml:space="preserve">rust in order to develop its capacity </w:t>
      </w:r>
      <w:r w:rsidR="00BF0F6D">
        <w:rPr>
          <w:rFonts w:asciiTheme="minorHAnsi" w:hAnsiTheme="minorHAnsi" w:cstheme="minorHAnsi"/>
          <w:sz w:val="22"/>
          <w:szCs w:val="22"/>
        </w:rPr>
        <w:t>to provide high quality provision for the local community.</w:t>
      </w:r>
    </w:p>
    <w:p w14:paraId="33EE7D5C" w14:textId="77777777" w:rsidR="003D7B41" w:rsidRPr="00791671" w:rsidRDefault="003D7B41" w:rsidP="0072140C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14:paraId="24DC58CB" w14:textId="5F4C03B8" w:rsidR="0072140C" w:rsidRPr="00791671" w:rsidRDefault="0072140C" w:rsidP="0072140C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 w:rsidRPr="0072140C">
        <w:rPr>
          <w:rFonts w:ascii="Calibri" w:hAnsi="Calibri" w:cs="Calibri"/>
          <w:b/>
          <w:bCs/>
          <w:color w:val="000000"/>
        </w:rPr>
        <w:t xml:space="preserve">EXTRA-CURRICULAR ACTIVITIES </w:t>
      </w:r>
    </w:p>
    <w:p w14:paraId="344724DC" w14:textId="35F0E4D2" w:rsidR="0072140C" w:rsidRPr="0072140C" w:rsidRDefault="0072140C" w:rsidP="0072140C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 w:rsidRPr="0072140C">
        <w:rPr>
          <w:rFonts w:ascii="Calibri" w:hAnsi="Calibri" w:cs="Calibri"/>
          <w:color w:val="000000"/>
          <w:sz w:val="23"/>
          <w:szCs w:val="23"/>
        </w:rPr>
        <w:t>The</w:t>
      </w:r>
      <w:r w:rsidR="00F82FAC">
        <w:rPr>
          <w:rFonts w:ascii="Calibri" w:hAnsi="Calibri" w:cs="Calibri"/>
          <w:color w:val="000000"/>
          <w:sz w:val="23"/>
          <w:szCs w:val="23"/>
        </w:rPr>
        <w:t xml:space="preserve"> Covid Pandemic has affected the </w:t>
      </w:r>
      <w:r w:rsidRPr="0072140C">
        <w:rPr>
          <w:rFonts w:ascii="Calibri" w:hAnsi="Calibri" w:cs="Calibri"/>
          <w:color w:val="000000"/>
          <w:sz w:val="23"/>
          <w:szCs w:val="23"/>
        </w:rPr>
        <w:t>extra-curricular programme</w:t>
      </w:r>
      <w:r w:rsidR="000D61B9">
        <w:rPr>
          <w:rFonts w:ascii="Calibri" w:hAnsi="Calibri" w:cs="Calibri"/>
          <w:color w:val="000000"/>
          <w:sz w:val="23"/>
          <w:szCs w:val="23"/>
        </w:rPr>
        <w:t>,</w:t>
      </w:r>
      <w:r w:rsidR="00F82FAC">
        <w:rPr>
          <w:rFonts w:ascii="Calibri" w:hAnsi="Calibri" w:cs="Calibri"/>
          <w:color w:val="000000"/>
          <w:sz w:val="23"/>
          <w:szCs w:val="23"/>
        </w:rPr>
        <w:t xml:space="preserve"> but as school restrictions lift</w:t>
      </w:r>
      <w:r w:rsidR="000D61B9">
        <w:rPr>
          <w:rFonts w:ascii="Calibri" w:hAnsi="Calibri" w:cs="Calibri"/>
          <w:color w:val="000000"/>
          <w:sz w:val="23"/>
          <w:szCs w:val="23"/>
        </w:rPr>
        <w:t>,</w:t>
      </w:r>
      <w:r w:rsidR="00F82FAC">
        <w:rPr>
          <w:rFonts w:ascii="Calibri" w:hAnsi="Calibri" w:cs="Calibri"/>
          <w:color w:val="000000"/>
          <w:sz w:val="23"/>
          <w:szCs w:val="23"/>
        </w:rPr>
        <w:t xml:space="preserve"> it is hoped that this will resume</w:t>
      </w:r>
      <w:r w:rsidRPr="0072140C">
        <w:rPr>
          <w:rFonts w:ascii="Calibri" w:hAnsi="Calibri" w:cs="Calibri"/>
          <w:color w:val="000000"/>
          <w:sz w:val="23"/>
          <w:szCs w:val="23"/>
        </w:rPr>
        <w:t xml:space="preserve">. The list of clubs and activities can be seen by viewing our website. Sport </w:t>
      </w:r>
      <w:r w:rsidR="00F82FAC">
        <w:rPr>
          <w:rFonts w:ascii="Calibri" w:hAnsi="Calibri" w:cs="Calibri"/>
          <w:color w:val="000000"/>
          <w:sz w:val="23"/>
          <w:szCs w:val="23"/>
        </w:rPr>
        <w:t>is</w:t>
      </w:r>
      <w:r w:rsidRPr="0072140C">
        <w:rPr>
          <w:rFonts w:ascii="Calibri" w:hAnsi="Calibri" w:cs="Calibri"/>
          <w:color w:val="000000"/>
          <w:sz w:val="23"/>
          <w:szCs w:val="23"/>
        </w:rPr>
        <w:t xml:space="preserve"> very popular with regular fixtures and competitions at District, County and National levels</w:t>
      </w:r>
      <w:r w:rsidR="00F82FAC">
        <w:rPr>
          <w:rFonts w:ascii="Calibri" w:hAnsi="Calibri" w:cs="Calibri"/>
          <w:color w:val="000000"/>
          <w:sz w:val="23"/>
          <w:szCs w:val="23"/>
        </w:rPr>
        <w:t xml:space="preserve"> when allowed</w:t>
      </w:r>
      <w:r w:rsidRPr="0072140C">
        <w:rPr>
          <w:rFonts w:ascii="Calibri" w:hAnsi="Calibri" w:cs="Calibri"/>
          <w:color w:val="000000"/>
          <w:sz w:val="23"/>
          <w:szCs w:val="23"/>
        </w:rPr>
        <w:t xml:space="preserve">. </w:t>
      </w:r>
    </w:p>
    <w:p w14:paraId="0E373000" w14:textId="77777777" w:rsidR="003D7B41" w:rsidRDefault="003D7B41" w:rsidP="0072140C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285DDFD8" w14:textId="04997557" w:rsidR="0072140C" w:rsidRPr="00791671" w:rsidRDefault="0072140C" w:rsidP="0072140C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 w:rsidRPr="0072140C">
        <w:rPr>
          <w:rFonts w:ascii="Calibri" w:hAnsi="Calibri" w:cs="Calibri"/>
          <w:b/>
          <w:bCs/>
          <w:color w:val="000000"/>
        </w:rPr>
        <w:lastRenderedPageBreak/>
        <w:t xml:space="preserve">SCHOOL AWARDS </w:t>
      </w:r>
    </w:p>
    <w:p w14:paraId="0144BA7B" w14:textId="22A8C0E8" w:rsidR="00CF0445" w:rsidRPr="005E6E3A" w:rsidRDefault="00385371" w:rsidP="0072140C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5E6E3A">
        <w:rPr>
          <w:rFonts w:ascii="Calibri" w:hAnsi="Calibri" w:cs="Calibri"/>
          <w:color w:val="000000"/>
          <w:sz w:val="22"/>
          <w:szCs w:val="22"/>
        </w:rPr>
        <w:t>Healthy Schools</w:t>
      </w:r>
    </w:p>
    <w:p w14:paraId="3EFD4ADD" w14:textId="3A14A515" w:rsidR="00385371" w:rsidRPr="005E6E3A" w:rsidRDefault="00385371" w:rsidP="0072140C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5E6E3A">
        <w:rPr>
          <w:rFonts w:ascii="Calibri" w:hAnsi="Calibri" w:cs="Calibri"/>
          <w:color w:val="000000"/>
          <w:sz w:val="22"/>
          <w:szCs w:val="22"/>
        </w:rPr>
        <w:t>Silver Eco School</w:t>
      </w:r>
    </w:p>
    <w:p w14:paraId="450DD724" w14:textId="50FD25B0" w:rsidR="00385371" w:rsidRPr="005E6E3A" w:rsidRDefault="00385371" w:rsidP="0072140C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5E6E3A">
        <w:rPr>
          <w:rFonts w:ascii="Calibri" w:hAnsi="Calibri" w:cs="Calibri"/>
          <w:color w:val="000000"/>
          <w:sz w:val="22"/>
          <w:szCs w:val="22"/>
        </w:rPr>
        <w:t>Investors in People</w:t>
      </w:r>
    </w:p>
    <w:p w14:paraId="1A9BAAC7" w14:textId="05D45D3F" w:rsidR="00385371" w:rsidRPr="005E6E3A" w:rsidRDefault="00385371" w:rsidP="0072140C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5E6E3A">
        <w:rPr>
          <w:rFonts w:ascii="Calibri" w:hAnsi="Calibri" w:cs="Calibri"/>
          <w:color w:val="000000"/>
          <w:sz w:val="22"/>
          <w:szCs w:val="22"/>
        </w:rPr>
        <w:t>Arts Council Award</w:t>
      </w:r>
    </w:p>
    <w:p w14:paraId="5FC55ED6" w14:textId="77777777" w:rsidR="00385371" w:rsidRPr="00385371" w:rsidRDefault="00385371" w:rsidP="0072140C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1ADDFAB8" w14:textId="09EDC254" w:rsidR="0072140C" w:rsidRPr="0072140C" w:rsidRDefault="0072140C" w:rsidP="0072140C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 w:rsidRPr="0072140C">
        <w:rPr>
          <w:rFonts w:ascii="Calibri" w:hAnsi="Calibri" w:cs="Calibri"/>
          <w:color w:val="000000"/>
          <w:sz w:val="23"/>
          <w:szCs w:val="23"/>
        </w:rPr>
        <w:t xml:space="preserve">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4219"/>
      </w:tblGrid>
      <w:tr w:rsidR="0072140C" w:rsidRPr="0072140C" w14:paraId="1BF6AF2E" w14:textId="77777777">
        <w:trPr>
          <w:trHeight w:val="129"/>
        </w:trPr>
        <w:tc>
          <w:tcPr>
            <w:tcW w:w="4219" w:type="dxa"/>
          </w:tcPr>
          <w:p w14:paraId="15186D32" w14:textId="77777777" w:rsidR="00CF0445" w:rsidRPr="00791671" w:rsidRDefault="0072140C" w:rsidP="0072140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 w:rsidRPr="0072140C">
              <w:rPr>
                <w:rFonts w:ascii="Calibri" w:hAnsi="Calibri" w:cs="Calibri"/>
                <w:b/>
                <w:bCs/>
                <w:color w:val="000000"/>
              </w:rPr>
              <w:t xml:space="preserve">HOW TO APPLY </w:t>
            </w:r>
          </w:p>
          <w:p w14:paraId="13A0F916" w14:textId="77777777" w:rsidR="00B01FF6" w:rsidRDefault="00B01FF6" w:rsidP="007214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14:paraId="50E8310C" w14:textId="00F6B596" w:rsidR="0072140C" w:rsidRPr="0072140C" w:rsidRDefault="0072140C" w:rsidP="007214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2140C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Pre-application visits to school </w:t>
            </w:r>
          </w:p>
        </w:tc>
        <w:tc>
          <w:tcPr>
            <w:tcW w:w="4219" w:type="dxa"/>
          </w:tcPr>
          <w:p w14:paraId="5B00776A" w14:textId="77777777" w:rsidR="00CF0445" w:rsidRPr="00B01FF6" w:rsidRDefault="00CF0445" w:rsidP="0072140C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3"/>
                <w:szCs w:val="23"/>
              </w:rPr>
            </w:pPr>
          </w:p>
          <w:p w14:paraId="4F0F2775" w14:textId="77777777" w:rsidR="00CF0445" w:rsidRPr="00B01FF6" w:rsidRDefault="00CF0445" w:rsidP="0072140C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3"/>
                <w:szCs w:val="23"/>
              </w:rPr>
            </w:pPr>
          </w:p>
          <w:p w14:paraId="2F8D1EAF" w14:textId="146F0025" w:rsidR="0072140C" w:rsidRPr="00B01FF6" w:rsidRDefault="005E6E3A" w:rsidP="0072140C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3"/>
                <w:szCs w:val="23"/>
              </w:rPr>
            </w:pPr>
            <w:r w:rsidRPr="00B01FF6">
              <w:rPr>
                <w:rFonts w:ascii="Calibri" w:hAnsi="Calibri" w:cs="Calibri"/>
                <w:i/>
                <w:iCs/>
                <w:color w:val="000000"/>
                <w:sz w:val="23"/>
                <w:szCs w:val="23"/>
              </w:rPr>
              <w:t xml:space="preserve">Available </w:t>
            </w:r>
            <w:r w:rsidR="00085523">
              <w:rPr>
                <w:rFonts w:ascii="Calibri" w:hAnsi="Calibri" w:cs="Calibri"/>
                <w:i/>
                <w:iCs/>
                <w:color w:val="000000"/>
                <w:sz w:val="23"/>
                <w:szCs w:val="23"/>
              </w:rPr>
              <w:t>on either</w:t>
            </w:r>
            <w:r w:rsidR="0065679E">
              <w:rPr>
                <w:rFonts w:ascii="Calibri" w:hAnsi="Calibri" w:cs="Calibri"/>
                <w:i/>
                <w:iCs/>
                <w:color w:val="000000"/>
                <w:sz w:val="23"/>
                <w:szCs w:val="23"/>
              </w:rPr>
              <w:t xml:space="preserve"> 11</w:t>
            </w:r>
            <w:r w:rsidR="00374E4C" w:rsidRPr="0065679E">
              <w:rPr>
                <w:rFonts w:ascii="Calibri" w:hAnsi="Calibri" w:cs="Calibri"/>
                <w:i/>
                <w:iCs/>
                <w:color w:val="000000"/>
                <w:sz w:val="23"/>
                <w:szCs w:val="23"/>
                <w:vertAlign w:val="superscript"/>
              </w:rPr>
              <w:t xml:space="preserve">th </w:t>
            </w:r>
            <w:r w:rsidR="00085523" w:rsidRPr="0065679E">
              <w:rPr>
                <w:rFonts w:ascii="Calibri" w:hAnsi="Calibri" w:cs="Calibri"/>
                <w:i/>
                <w:iCs/>
                <w:color w:val="000000"/>
                <w:sz w:val="23"/>
                <w:szCs w:val="23"/>
              </w:rPr>
              <w:t>or</w:t>
            </w:r>
            <w:r w:rsidR="00374E4C" w:rsidRPr="0065679E">
              <w:rPr>
                <w:rFonts w:ascii="Calibri" w:hAnsi="Calibri" w:cs="Calibri"/>
                <w:i/>
                <w:iCs/>
                <w:color w:val="000000"/>
                <w:sz w:val="23"/>
                <w:szCs w:val="23"/>
                <w:vertAlign w:val="superscript"/>
              </w:rPr>
              <w:t xml:space="preserve"> </w:t>
            </w:r>
            <w:r w:rsidR="00085523" w:rsidRPr="0065679E">
              <w:rPr>
                <w:rFonts w:ascii="Calibri" w:hAnsi="Calibri" w:cs="Calibri"/>
                <w:i/>
                <w:iCs/>
                <w:color w:val="000000"/>
                <w:sz w:val="23"/>
                <w:szCs w:val="23"/>
              </w:rPr>
              <w:t>1</w:t>
            </w:r>
            <w:r w:rsidR="0065679E">
              <w:rPr>
                <w:rFonts w:ascii="Calibri" w:hAnsi="Calibri" w:cs="Calibri"/>
                <w:i/>
                <w:iCs/>
                <w:color w:val="000000"/>
                <w:sz w:val="23"/>
                <w:szCs w:val="23"/>
              </w:rPr>
              <w:t>2</w:t>
            </w:r>
            <w:r w:rsidR="00085523" w:rsidRPr="0065679E">
              <w:rPr>
                <w:rFonts w:ascii="Calibri" w:hAnsi="Calibri" w:cs="Calibri"/>
                <w:i/>
                <w:iCs/>
                <w:color w:val="000000"/>
                <w:sz w:val="23"/>
                <w:szCs w:val="23"/>
                <w:vertAlign w:val="superscript"/>
              </w:rPr>
              <w:t>th</w:t>
            </w:r>
            <w:r w:rsidR="00085523" w:rsidRPr="0065679E">
              <w:rPr>
                <w:rFonts w:ascii="Calibri" w:hAnsi="Calibri" w:cs="Calibri"/>
                <w:i/>
                <w:iCs/>
                <w:color w:val="000000"/>
                <w:sz w:val="23"/>
                <w:szCs w:val="23"/>
              </w:rPr>
              <w:t xml:space="preserve"> May</w:t>
            </w:r>
            <w:r w:rsidR="00374E4C" w:rsidRPr="00B01FF6">
              <w:rPr>
                <w:rFonts w:ascii="Calibri" w:hAnsi="Calibri" w:cs="Calibri"/>
                <w:i/>
                <w:iCs/>
                <w:color w:val="000000"/>
                <w:sz w:val="23"/>
                <w:szCs w:val="23"/>
              </w:rPr>
              <w:t xml:space="preserve"> 2021</w:t>
            </w:r>
          </w:p>
          <w:p w14:paraId="76AE68C8" w14:textId="3AF4866C" w:rsidR="00374E4C" w:rsidRPr="00F93E1E" w:rsidRDefault="00374E4C" w:rsidP="0072140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F93E1E">
              <w:rPr>
                <w:rFonts w:ascii="Calibri" w:hAnsi="Calibri" w:cs="Calibri"/>
                <w:b/>
                <w:bCs/>
                <w:i/>
                <w:iCs/>
                <w:color w:val="000000"/>
                <w:sz w:val="23"/>
                <w:szCs w:val="23"/>
              </w:rPr>
              <w:t>(Please contact the Clerk</w:t>
            </w:r>
            <w:r w:rsidR="00F93E1E" w:rsidRPr="00F93E1E">
              <w:rPr>
                <w:rFonts w:ascii="Calibri" w:hAnsi="Calibri" w:cs="Calibri"/>
                <w:b/>
                <w:bCs/>
                <w:i/>
                <w:iCs/>
                <w:color w:val="000000"/>
                <w:sz w:val="23"/>
                <w:szCs w:val="23"/>
              </w:rPr>
              <w:t xml:space="preserve"> on </w:t>
            </w:r>
            <w:hyperlink r:id="rId7" w:history="1">
              <w:r w:rsidR="00F93E1E" w:rsidRPr="00CA5F79">
                <w:rPr>
                  <w:rStyle w:val="Hyperlink"/>
                  <w:rFonts w:ascii="Calibri" w:hAnsi="Calibri" w:cs="Calibri"/>
                  <w:b/>
                  <w:bCs/>
                  <w:i/>
                  <w:iCs/>
                  <w:sz w:val="23"/>
                  <w:szCs w:val="23"/>
                </w:rPr>
                <w:t>novaadmin@btinternet.com</w:t>
              </w:r>
            </w:hyperlink>
            <w:r w:rsidR="00F93E1E">
              <w:rPr>
                <w:rFonts w:ascii="Calibri" w:hAnsi="Calibri" w:cs="Calibri"/>
                <w:b/>
                <w:bCs/>
                <w:i/>
                <w:iCs/>
                <w:color w:val="000000"/>
                <w:sz w:val="23"/>
                <w:szCs w:val="23"/>
              </w:rPr>
              <w:t xml:space="preserve"> to arrange a visit</w:t>
            </w:r>
            <w:r w:rsidR="00625F6E">
              <w:rPr>
                <w:rFonts w:ascii="Calibri" w:hAnsi="Calibri" w:cs="Calibri"/>
                <w:b/>
                <w:bCs/>
                <w:i/>
                <w:iCs/>
                <w:color w:val="000000"/>
                <w:sz w:val="23"/>
                <w:szCs w:val="23"/>
              </w:rPr>
              <w:t>)</w:t>
            </w:r>
          </w:p>
        </w:tc>
      </w:tr>
      <w:tr w:rsidR="0072140C" w:rsidRPr="0072140C" w14:paraId="51EB59EF" w14:textId="77777777">
        <w:trPr>
          <w:trHeight w:val="129"/>
        </w:trPr>
        <w:tc>
          <w:tcPr>
            <w:tcW w:w="4219" w:type="dxa"/>
          </w:tcPr>
          <w:p w14:paraId="7F4BEF5F" w14:textId="77777777" w:rsidR="00B01FF6" w:rsidRDefault="00B01FF6" w:rsidP="007214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14:paraId="61AB2830" w14:textId="6DEB84A0" w:rsidR="0072140C" w:rsidRPr="0072140C" w:rsidRDefault="0072140C" w:rsidP="007214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2140C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Closing date for applications </w:t>
            </w:r>
          </w:p>
        </w:tc>
        <w:tc>
          <w:tcPr>
            <w:tcW w:w="4219" w:type="dxa"/>
          </w:tcPr>
          <w:p w14:paraId="073A9825" w14:textId="77777777" w:rsidR="00B01FF6" w:rsidRDefault="00B01FF6" w:rsidP="0072140C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3"/>
                <w:szCs w:val="23"/>
              </w:rPr>
            </w:pPr>
          </w:p>
          <w:p w14:paraId="7E31A747" w14:textId="507CA5DD" w:rsidR="0072140C" w:rsidRPr="00B01FF6" w:rsidRDefault="00BA04A5" w:rsidP="0072140C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3"/>
                <w:szCs w:val="23"/>
              </w:rPr>
              <w:t>Friday 14</w:t>
            </w:r>
            <w:r w:rsidRPr="00BA04A5">
              <w:rPr>
                <w:rFonts w:ascii="Calibri" w:hAnsi="Calibri" w:cs="Calibri"/>
                <w:i/>
                <w:iCs/>
                <w:color w:val="000000"/>
                <w:sz w:val="23"/>
                <w:szCs w:val="23"/>
                <w:vertAlign w:val="superscript"/>
              </w:rPr>
              <w:t>th</w:t>
            </w:r>
            <w:r>
              <w:rPr>
                <w:rFonts w:ascii="Calibri" w:hAnsi="Calibri" w:cs="Calibri"/>
                <w:i/>
                <w:iCs/>
                <w:color w:val="000000"/>
                <w:sz w:val="23"/>
                <w:szCs w:val="23"/>
                <w:vertAlign w:val="superscript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000000"/>
                <w:sz w:val="23"/>
                <w:szCs w:val="23"/>
              </w:rPr>
              <w:t xml:space="preserve">May </w:t>
            </w:r>
            <w:r w:rsidR="00374E4C" w:rsidRPr="00B01FF6">
              <w:rPr>
                <w:rFonts w:ascii="Calibri" w:hAnsi="Calibri" w:cs="Calibri"/>
                <w:i/>
                <w:iCs/>
                <w:color w:val="000000"/>
                <w:sz w:val="23"/>
                <w:szCs w:val="23"/>
              </w:rPr>
              <w:t>20</w:t>
            </w:r>
            <w:r w:rsidR="005E6E3A" w:rsidRPr="00B01FF6">
              <w:rPr>
                <w:rFonts w:ascii="Calibri" w:hAnsi="Calibri" w:cs="Calibri"/>
                <w:i/>
                <w:iCs/>
                <w:color w:val="000000"/>
                <w:sz w:val="23"/>
                <w:szCs w:val="23"/>
              </w:rPr>
              <w:t>2</w:t>
            </w:r>
            <w:r w:rsidR="00374E4C" w:rsidRPr="00B01FF6">
              <w:rPr>
                <w:rFonts w:ascii="Calibri" w:hAnsi="Calibri" w:cs="Calibri"/>
                <w:i/>
                <w:iCs/>
                <w:color w:val="000000"/>
                <w:sz w:val="23"/>
                <w:szCs w:val="23"/>
              </w:rPr>
              <w:t>1</w:t>
            </w:r>
            <w:r w:rsidR="0072140C" w:rsidRPr="00B01FF6">
              <w:rPr>
                <w:rFonts w:ascii="Calibri" w:hAnsi="Calibri" w:cs="Calibri"/>
                <w:i/>
                <w:iCs/>
                <w:color w:val="000000"/>
                <w:sz w:val="23"/>
                <w:szCs w:val="23"/>
              </w:rPr>
              <w:t xml:space="preserve"> (12.00 noon) </w:t>
            </w:r>
          </w:p>
        </w:tc>
      </w:tr>
      <w:tr w:rsidR="0072140C" w:rsidRPr="0072140C" w14:paraId="25762614" w14:textId="77777777">
        <w:trPr>
          <w:trHeight w:val="129"/>
        </w:trPr>
        <w:tc>
          <w:tcPr>
            <w:tcW w:w="4219" w:type="dxa"/>
          </w:tcPr>
          <w:p w14:paraId="53EF5B3E" w14:textId="77777777" w:rsidR="00B01FF6" w:rsidRDefault="00B01FF6" w:rsidP="007214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14:paraId="17AF2AE4" w14:textId="77777777" w:rsidR="00B01FF6" w:rsidRDefault="00B01FF6" w:rsidP="007214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14:paraId="4CE60B80" w14:textId="4A4A1908" w:rsidR="0072140C" w:rsidRPr="0072140C" w:rsidRDefault="0072140C" w:rsidP="007214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2140C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Interviews </w:t>
            </w:r>
          </w:p>
        </w:tc>
        <w:tc>
          <w:tcPr>
            <w:tcW w:w="4219" w:type="dxa"/>
          </w:tcPr>
          <w:p w14:paraId="3D142E89" w14:textId="77777777" w:rsidR="00B01FF6" w:rsidRPr="00BD52AC" w:rsidRDefault="00B01FF6" w:rsidP="0072140C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3"/>
                <w:szCs w:val="23"/>
                <w:highlight w:val="yellow"/>
              </w:rPr>
            </w:pPr>
          </w:p>
          <w:p w14:paraId="304F8580" w14:textId="77777777" w:rsidR="00B01FF6" w:rsidRPr="00BD52AC" w:rsidRDefault="00B01FF6" w:rsidP="0072140C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3"/>
                <w:szCs w:val="23"/>
                <w:highlight w:val="yellow"/>
              </w:rPr>
            </w:pPr>
          </w:p>
          <w:p w14:paraId="305419FF" w14:textId="44E56C9B" w:rsidR="00BD52AC" w:rsidRPr="00BD52AC" w:rsidRDefault="00BD52AC" w:rsidP="0072140C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3"/>
                <w:szCs w:val="23"/>
                <w:highlight w:val="yellow"/>
              </w:rPr>
            </w:pPr>
            <w:r w:rsidRPr="0065679E">
              <w:rPr>
                <w:rFonts w:ascii="Calibri" w:hAnsi="Calibri" w:cs="Calibri"/>
                <w:i/>
                <w:iCs/>
                <w:color w:val="000000"/>
                <w:sz w:val="23"/>
                <w:szCs w:val="23"/>
              </w:rPr>
              <w:t>Monday 24</w:t>
            </w:r>
            <w:r w:rsidRPr="0065679E">
              <w:rPr>
                <w:rFonts w:ascii="Calibri" w:hAnsi="Calibri" w:cs="Calibri"/>
                <w:i/>
                <w:iCs/>
                <w:color w:val="000000"/>
                <w:sz w:val="23"/>
                <w:szCs w:val="23"/>
                <w:vertAlign w:val="superscript"/>
              </w:rPr>
              <w:t>th</w:t>
            </w:r>
            <w:r w:rsidRPr="0065679E">
              <w:rPr>
                <w:rFonts w:ascii="Calibri" w:hAnsi="Calibri" w:cs="Calibri"/>
                <w:i/>
                <w:iCs/>
                <w:color w:val="000000"/>
                <w:sz w:val="23"/>
                <w:szCs w:val="23"/>
              </w:rPr>
              <w:t xml:space="preserve"> and Tuesday 25</w:t>
            </w:r>
            <w:r w:rsidRPr="0065679E">
              <w:rPr>
                <w:rFonts w:ascii="Calibri" w:hAnsi="Calibri" w:cs="Calibri"/>
                <w:i/>
                <w:iCs/>
                <w:color w:val="000000"/>
                <w:sz w:val="23"/>
                <w:szCs w:val="23"/>
                <w:vertAlign w:val="superscript"/>
              </w:rPr>
              <w:t>th</w:t>
            </w:r>
            <w:r w:rsidRPr="0065679E">
              <w:rPr>
                <w:rFonts w:ascii="Calibri" w:hAnsi="Calibri" w:cs="Calibri"/>
                <w:i/>
                <w:iCs/>
                <w:color w:val="000000"/>
                <w:sz w:val="23"/>
                <w:szCs w:val="23"/>
              </w:rPr>
              <w:t xml:space="preserve"> May 2021</w:t>
            </w:r>
          </w:p>
        </w:tc>
      </w:tr>
    </w:tbl>
    <w:p w14:paraId="5E13C86F" w14:textId="77777777" w:rsidR="007463EB" w:rsidRDefault="007463EB" w:rsidP="003150DE">
      <w:pPr>
        <w:rPr>
          <w:rFonts w:ascii="Arial" w:eastAsia="Times New Roman" w:hAnsi="Arial" w:cs="Arial"/>
          <w:color w:val="515151"/>
          <w:sz w:val="23"/>
          <w:szCs w:val="23"/>
          <w:shd w:val="clear" w:color="auto" w:fill="FFFFFF"/>
          <w:lang w:eastAsia="en-GB"/>
        </w:rPr>
      </w:pPr>
    </w:p>
    <w:p w14:paraId="0CFFA0F6" w14:textId="77777777" w:rsidR="003150DE" w:rsidRDefault="003150DE"/>
    <w:sectPr w:rsidR="003150DE" w:rsidSect="004D3B0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8130C" w14:textId="77777777" w:rsidR="00355DB0" w:rsidRDefault="00355DB0" w:rsidP="00385BEE">
      <w:r>
        <w:separator/>
      </w:r>
    </w:p>
  </w:endnote>
  <w:endnote w:type="continuationSeparator" w:id="0">
    <w:p w14:paraId="43F9EE6C" w14:textId="77777777" w:rsidR="00355DB0" w:rsidRDefault="00355DB0" w:rsidP="00385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A083A" w14:textId="77777777" w:rsidR="00355DB0" w:rsidRDefault="00355DB0" w:rsidP="00385BEE">
      <w:r>
        <w:separator/>
      </w:r>
    </w:p>
  </w:footnote>
  <w:footnote w:type="continuationSeparator" w:id="0">
    <w:p w14:paraId="3B3B64B2" w14:textId="77777777" w:rsidR="00355DB0" w:rsidRDefault="00355DB0" w:rsidP="00385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048B6"/>
    <w:multiLevelType w:val="hybridMultilevel"/>
    <w:tmpl w:val="89F853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0F5DA8"/>
    <w:multiLevelType w:val="hybridMultilevel"/>
    <w:tmpl w:val="21D086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0DE"/>
    <w:rsid w:val="00005F35"/>
    <w:rsid w:val="00040C89"/>
    <w:rsid w:val="00085523"/>
    <w:rsid w:val="000D61B9"/>
    <w:rsid w:val="00112825"/>
    <w:rsid w:val="00197747"/>
    <w:rsid w:val="00231FF4"/>
    <w:rsid w:val="00305DA1"/>
    <w:rsid w:val="003150DE"/>
    <w:rsid w:val="00336151"/>
    <w:rsid w:val="00351F81"/>
    <w:rsid w:val="00355DB0"/>
    <w:rsid w:val="00360F0C"/>
    <w:rsid w:val="00374E4C"/>
    <w:rsid w:val="00385371"/>
    <w:rsid w:val="00385BEE"/>
    <w:rsid w:val="003A0125"/>
    <w:rsid w:val="003D7B41"/>
    <w:rsid w:val="00405FE2"/>
    <w:rsid w:val="004556A2"/>
    <w:rsid w:val="004C6720"/>
    <w:rsid w:val="004D3B02"/>
    <w:rsid w:val="0051048E"/>
    <w:rsid w:val="0051590C"/>
    <w:rsid w:val="00527B70"/>
    <w:rsid w:val="0056355D"/>
    <w:rsid w:val="005E6E3A"/>
    <w:rsid w:val="00625E7E"/>
    <w:rsid w:val="00625F6E"/>
    <w:rsid w:val="00626B3E"/>
    <w:rsid w:val="0065679E"/>
    <w:rsid w:val="00681EDB"/>
    <w:rsid w:val="0072140C"/>
    <w:rsid w:val="007463EB"/>
    <w:rsid w:val="00791671"/>
    <w:rsid w:val="008F4E98"/>
    <w:rsid w:val="00941352"/>
    <w:rsid w:val="00946F4C"/>
    <w:rsid w:val="00983811"/>
    <w:rsid w:val="009D2B2C"/>
    <w:rsid w:val="009E00B5"/>
    <w:rsid w:val="00A107C6"/>
    <w:rsid w:val="00A82057"/>
    <w:rsid w:val="00AB634D"/>
    <w:rsid w:val="00AB7ED0"/>
    <w:rsid w:val="00AD721F"/>
    <w:rsid w:val="00AF1761"/>
    <w:rsid w:val="00B01FF6"/>
    <w:rsid w:val="00B26384"/>
    <w:rsid w:val="00B35A9B"/>
    <w:rsid w:val="00B523CE"/>
    <w:rsid w:val="00BA04A5"/>
    <w:rsid w:val="00BD52AC"/>
    <w:rsid w:val="00BF0F6D"/>
    <w:rsid w:val="00CF0445"/>
    <w:rsid w:val="00D072FA"/>
    <w:rsid w:val="00E327B4"/>
    <w:rsid w:val="00EC6A1A"/>
    <w:rsid w:val="00F10B15"/>
    <w:rsid w:val="00F5283A"/>
    <w:rsid w:val="00F82FAC"/>
    <w:rsid w:val="00F93E1E"/>
    <w:rsid w:val="00FD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BBFD3"/>
  <w15:chartTrackingRefBased/>
  <w15:docId w15:val="{2111F140-0C1C-F345-B147-8EEA0CD68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150D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50D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3150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F5283A"/>
  </w:style>
  <w:style w:type="paragraph" w:customStyle="1" w:styleId="Default">
    <w:name w:val="Default"/>
    <w:rsid w:val="007463E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TextStdInput">
    <w:name w:val="TextStdInput"/>
    <w:uiPriority w:val="99"/>
    <w:rsid w:val="00CF0445"/>
    <w:pPr>
      <w:widowControl w:val="0"/>
      <w:tabs>
        <w:tab w:val="left" w:pos="576"/>
        <w:tab w:val="left" w:pos="1152"/>
      </w:tabs>
      <w:autoSpaceDE w:val="0"/>
      <w:autoSpaceDN w:val="0"/>
      <w:adjustRightInd w:val="0"/>
      <w:jc w:val="both"/>
    </w:pPr>
    <w:rPr>
      <w:rFonts w:ascii="Arial" w:eastAsiaTheme="minorEastAsia" w:hAnsi="Arial" w:cs="Arial"/>
      <w:color w:val="000000"/>
      <w:sz w:val="20"/>
      <w:szCs w:val="20"/>
      <w:lang w:eastAsia="en-GB"/>
    </w:rPr>
  </w:style>
  <w:style w:type="paragraph" w:customStyle="1" w:styleId="spacer10">
    <w:name w:val="spacer10"/>
    <w:uiPriority w:val="99"/>
    <w:rsid w:val="00CF044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85B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5BEE"/>
  </w:style>
  <w:style w:type="paragraph" w:styleId="Footer">
    <w:name w:val="footer"/>
    <w:basedOn w:val="Normal"/>
    <w:link w:val="FooterChar"/>
    <w:uiPriority w:val="99"/>
    <w:unhideWhenUsed/>
    <w:rsid w:val="00385B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BEE"/>
  </w:style>
  <w:style w:type="paragraph" w:customStyle="1" w:styleId="NotesSubHead">
    <w:name w:val="NotesSubHead"/>
    <w:uiPriority w:val="99"/>
    <w:rsid w:val="008F4E98"/>
    <w:pPr>
      <w:widowControl w:val="0"/>
      <w:autoSpaceDE w:val="0"/>
      <w:autoSpaceDN w:val="0"/>
      <w:adjustRightInd w:val="0"/>
      <w:ind w:left="144" w:hanging="144"/>
    </w:pPr>
    <w:rPr>
      <w:rFonts w:ascii="Arial" w:eastAsiaTheme="minorEastAsia" w:hAnsi="Arial" w:cs="Arial"/>
      <w:b/>
      <w:bCs/>
      <w:color w:val="000000"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8F4E98"/>
    <w:rPr>
      <w:rFonts w:eastAsiaTheme="minorEastAsia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3E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3E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9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vaadmin@btintern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Doidge</dc:creator>
  <cp:keywords/>
  <dc:description/>
  <cp:lastModifiedBy>Claire Jukes</cp:lastModifiedBy>
  <cp:revision>4</cp:revision>
  <dcterms:created xsi:type="dcterms:W3CDTF">2021-04-27T15:42:00Z</dcterms:created>
  <dcterms:modified xsi:type="dcterms:W3CDTF">2021-04-27T15:42:00Z</dcterms:modified>
</cp:coreProperties>
</file>