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E778" w14:textId="77777777" w:rsidR="001306B4" w:rsidRPr="001306B4" w:rsidRDefault="001306B4" w:rsidP="001306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306B4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Person Specification </w:t>
      </w:r>
    </w:p>
    <w:p w14:paraId="144D94D4" w14:textId="43FB0B4D" w:rsidR="001306B4" w:rsidRDefault="001306B4" w:rsidP="001306B4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 xml:space="preserve">The Head Teacher of </w:t>
      </w: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Five Elms </w:t>
      </w:r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 xml:space="preserve">Primary School will need the specific knowledge, skills, attributes, aptitudes, experience, </w:t>
      </w:r>
      <w:proofErr w:type="gramStart"/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>training</w:t>
      </w:r>
      <w:proofErr w:type="gramEnd"/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and qualifications to carry out the main functions of the role, as set out in the job description. </w:t>
      </w:r>
    </w:p>
    <w:p w14:paraId="145BE04E" w14:textId="665DB6F6" w:rsidR="001306B4" w:rsidRPr="001306B4" w:rsidRDefault="001306B4" w:rsidP="001306B4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AF (application </w:t>
      </w:r>
      <w:proofErr w:type="gramStart"/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form)   </w:t>
      </w:r>
      <w:proofErr w:type="gramEnd"/>
      <w:r w:rsidR="00FE2A8E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 </w:t>
      </w: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 I (interview)      P (presentation)      T (task)</w:t>
      </w:r>
    </w:p>
    <w:p w14:paraId="7F533F43" w14:textId="77777777" w:rsidR="001306B4" w:rsidRPr="001306B4" w:rsidRDefault="001306B4" w:rsidP="001306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>In particular the</w:t>
      </w:r>
      <w:proofErr w:type="gramEnd"/>
      <w:r w:rsidRPr="001306B4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Headteacher will demonstrate the following: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8297"/>
        <w:gridCol w:w="1985"/>
      </w:tblGrid>
      <w:tr w:rsidR="001306B4" w:rsidRPr="001306B4" w14:paraId="12E4EE1D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70C1"/>
            <w:vAlign w:val="center"/>
            <w:hideMark/>
          </w:tcPr>
          <w:p w14:paraId="37AEDAA9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1306B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Attributes </w:t>
            </w: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70C1"/>
            <w:vAlign w:val="center"/>
            <w:hideMark/>
          </w:tcPr>
          <w:p w14:paraId="4A075FD5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1306B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Essential /Desirable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70C1"/>
            <w:vAlign w:val="center"/>
            <w:hideMark/>
          </w:tcPr>
          <w:p w14:paraId="17F45170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1306B4">
              <w:rPr>
                <w:rFonts w:ascii="Calibri" w:eastAsia="Times New Roman" w:hAnsi="Calibri" w:cs="Calibri"/>
                <w:b/>
                <w:bCs/>
                <w:lang w:eastAsia="en-GB"/>
              </w:rPr>
              <w:t>Method</w:t>
            </w:r>
            <w:r w:rsidRPr="001306B4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of Assessment </w:t>
            </w:r>
          </w:p>
        </w:tc>
      </w:tr>
      <w:tr w:rsidR="001306B4" w:rsidRPr="001306B4" w14:paraId="06C0F637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7964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Education Qualifications </w:t>
            </w: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0EDA2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Qualified Teacher Status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(E)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Successfully completed or part way through NPQH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(E)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46E2" w14:textId="77777777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AF </w:t>
            </w:r>
          </w:p>
        </w:tc>
      </w:tr>
      <w:tr w:rsidR="001306B4" w:rsidRPr="001306B4" w14:paraId="1792538C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13F95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10A27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F3789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306B4" w:rsidRPr="001306B4" w14:paraId="5EB524B7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31F64" w14:textId="0AC7F0A6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6B4">
              <w:rPr>
                <w:rFonts w:ascii="Arial" w:eastAsia="Times New Roman" w:hAnsi="Arial" w:cs="Arial"/>
                <w:b/>
                <w:bCs/>
                <w:position w:val="12"/>
                <w:sz w:val="20"/>
                <w:szCs w:val="20"/>
                <w:lang w:eastAsia="en-GB"/>
              </w:rPr>
              <w:t>Knowledge, Experience</w:t>
            </w:r>
            <w:r w:rsidRPr="00B36491">
              <w:rPr>
                <w:rFonts w:ascii="Arial" w:eastAsia="Times New Roman" w:hAnsi="Arial" w:cs="Arial"/>
                <w:b/>
                <w:bCs/>
                <w:position w:val="12"/>
                <w:sz w:val="20"/>
                <w:szCs w:val="20"/>
                <w:lang w:eastAsia="en-GB"/>
              </w:rPr>
              <w:t xml:space="preserve"> &amp; Skills </w:t>
            </w: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910ED" w14:textId="2AB28E2B" w:rsidR="001306B4" w:rsidRPr="001306B4" w:rsidRDefault="001306B4" w:rsidP="00130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Experience in EYFS and at least one other key stage in the Primary range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(E)</w:t>
            </w:r>
          </w:p>
          <w:p w14:paraId="36E82156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3AA33" w14:textId="082C82A2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</w:t>
            </w:r>
          </w:p>
        </w:tc>
      </w:tr>
      <w:tr w:rsidR="001306B4" w:rsidRPr="001306B4" w14:paraId="552AC7BB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92AE8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FC24C" w14:textId="5F1A76B4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Financial awareness and the ability to understand, plan and manage 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 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budget in the context of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financial benchmarking and best value principles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DCA68" w14:textId="06F73BFD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1306B4" w:rsidRPr="001306B4" w14:paraId="75C08B78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8E3ADE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118B" w14:textId="317788B5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Experience of transformational change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EE97E" w14:textId="4E22DE62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1306B4" w:rsidRPr="001306B4" w14:paraId="7E4BE990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B5381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F3ABB" w14:textId="4A5F605F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Experience of working in a school with a multi-ethnic, multi-faith community and with diverse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socio-economic/disadvantaged and advantaged families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CDAA0" w14:textId="6F5B9E9A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1306B4" w:rsidRPr="001306B4" w14:paraId="46697EB6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EE27C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3819F" w14:textId="62205247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Detailed knowledge of safeguarding practices and policy implementation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06AAF" w14:textId="29E2D766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I/T</w:t>
            </w:r>
          </w:p>
        </w:tc>
      </w:tr>
      <w:tr w:rsidR="001306B4" w:rsidRPr="001306B4" w14:paraId="4EB873F0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9E783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3599E" w14:textId="4055CC3B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Evidence of inspirational and collaborative leadership, strategic planning, effective school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improvement and target setting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1D1C0" w14:textId="0D0EE412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I/P</w:t>
            </w:r>
          </w:p>
        </w:tc>
      </w:tr>
      <w:tr w:rsidR="001306B4" w:rsidRPr="001306B4" w14:paraId="45D11317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B0E94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B0495" w14:textId="751547E8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Up</w:t>
            </w:r>
            <w:r w:rsidR="00B36491"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-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to</w:t>
            </w:r>
            <w:r w:rsidR="00B36491"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-</w:t>
            </w: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date knowledge of SEND and inclusion provision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B802C" w14:textId="4C74745C" w:rsidR="001306B4" w:rsidRPr="00B36491" w:rsidRDefault="00B36491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1306B4" w:rsidRPr="001306B4" w14:paraId="6614B9D3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78476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17762" w14:textId="40C827ED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Experience of working in collaboration with other schools, fellow </w:t>
            </w:r>
            <w:proofErr w:type="gramStart"/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professionals</w:t>
            </w:r>
            <w:proofErr w:type="gramEnd"/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and external organisations to improve outcomes for all children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DE69C" w14:textId="62941BA2" w:rsidR="001306B4" w:rsidRPr="00B36491" w:rsidRDefault="00B36491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1306B4" w:rsidRPr="001306B4" w14:paraId="564B121D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3D253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890B2" w14:textId="04E4AD58" w:rsidR="001306B4" w:rsidRPr="00B36491" w:rsidRDefault="001306B4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Experience of coaching, guiding and mentoring individuals and teams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3CEA2" w14:textId="20D932E4" w:rsidR="001306B4" w:rsidRPr="00B36491" w:rsidRDefault="00B36491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1306B4" w:rsidRPr="001306B4" w14:paraId="00698C9F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CD540" w14:textId="77777777" w:rsidR="001306B4" w:rsidRPr="00B36491" w:rsidRDefault="001306B4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DFAB3" w14:textId="22DCE81C" w:rsidR="00B36491" w:rsidRPr="00B36491" w:rsidRDefault="00B36491" w:rsidP="001306B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Demonstrable experience of leading, developing and managing staff</w:t>
            </w:r>
            <w:r w:rsidRPr="00B36491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B36491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78802" w14:textId="0F0B66EF" w:rsidR="001306B4" w:rsidRPr="00B36491" w:rsidRDefault="00B36491" w:rsidP="001306B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6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28733B3E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BC3C5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231E8" w14:textId="11ED3CA3" w:rsidR="00B36491" w:rsidRPr="00B36491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Demonstrates sound judgement by consistently assessing and balancing risks and opportunities in decision-making processes </w:t>
            </w:r>
            <w:r w:rsidRPr="0013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(E)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18D37" w14:textId="553BF11C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4594CB7B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D650C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A5C4B" w14:textId="1F8E4E8E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Demonstrable experience of the school self-evaluation and performance management processes and their impact on raising standards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38867" w14:textId="31686B36" w:rsid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1BE614D8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D56EE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CD7E1" w14:textId="4C2E24A9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Demonstrable Written and Oral communication skills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2B067" w14:textId="4BA512A3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I/P</w:t>
            </w:r>
          </w:p>
        </w:tc>
      </w:tr>
      <w:tr w:rsidR="00B36491" w:rsidRPr="001306B4" w14:paraId="62BBF544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9BE3F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46A93" w14:textId="124BC984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Evidence of working with parents and the community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974A0" w14:textId="16C8CB4A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715951CC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2945A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23C8D" w14:textId="101C2D4A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Demonstrable effective interpersonal </w:t>
            </w:r>
            <w:r w:rsidR="00FE2A8E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s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kills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9D0B9" w14:textId="24022143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4921635E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356A9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07B6B" w14:textId="4E5306B8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Demonstrable leadership experience as Headteacher/Deputy Head</w:t>
            </w:r>
            <w:r w:rsidR="00FE2A8E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t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eacher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  <w:r w:rsidRPr="00FE2A8E">
              <w:rPr>
                <w:rFonts w:ascii="ArialMT" w:eastAsia="Times New Roman" w:hAnsi="ArialMT" w:cs="Times New Roman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B9288" w14:textId="2EA844DF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B36491" w:rsidRPr="001306B4" w14:paraId="216D418E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C6278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A64CB" w14:textId="5A7B2410" w:rsidR="00B36491" w:rsidRPr="001306B4" w:rsidRDefault="00FE2A8E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Demonstrable experience of working effectively with a 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g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overning body and enabling Governors to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fulfil their roles and meet their responsibilities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9995C" w14:textId="4123585F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037E5761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44079" w14:textId="4B0FA284" w:rsidR="00B36491" w:rsidRP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Personal qualities/behaviours</w:t>
            </w: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A405E" w14:textId="65FCD852" w:rsidR="00B36491" w:rsidRPr="001306B4" w:rsidRDefault="00FE2A8E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Has the vision, </w:t>
            </w:r>
            <w:proofErr w:type="gramStart"/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ambition</w:t>
            </w:r>
            <w:proofErr w:type="gramEnd"/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and ability to think and work strategically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42AE4" w14:textId="458A6218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B36491" w:rsidRPr="001306B4" w14:paraId="398EB07D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668AA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A1D52" w14:textId="7A3BA09F" w:rsidR="00B36491" w:rsidRPr="001306B4" w:rsidRDefault="00FE2A8E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A commitment to inclusion, achievement for all and have a heartfelt commitment to equality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3AB48" w14:textId="7406584C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0BDECB23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424DE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74B96" w14:textId="2473CE31" w:rsidR="00B36491" w:rsidRPr="001306B4" w:rsidRDefault="00FE2A8E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Sets high expectations and demonstrates a 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passionate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commitment to teaching and learning, aspiring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for 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excellent 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educational outcomes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BABE8" w14:textId="327640EA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6A859291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18002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8AE35" w14:textId="23FA0D2C" w:rsidR="00B36491" w:rsidRPr="00FE2A8E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Exhibits emotional resilience by maintaining composure in challenging situations and effectively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managing change, ambiguity, and setbacks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0D28" w14:textId="7DA51AA9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663C50F6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AAC2A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B7C76" w14:textId="09B9ED1E" w:rsidR="00B36491" w:rsidRPr="001306B4" w:rsidRDefault="00FE2A8E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306B4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Displays the ability to perform efficiently and effectively under pressure, as evidenced by consistent and successful outcomes during demanding situations </w:t>
            </w:r>
            <w:r w:rsidRPr="001306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26D00" w14:textId="41FCB470" w:rsidR="00B36491" w:rsidRDefault="00FE2A8E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B36491" w:rsidRPr="001306B4" w14:paraId="66D3738C" w14:textId="77777777" w:rsidTr="00130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B00C1" w14:textId="77777777" w:rsidR="00B36491" w:rsidRP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8C9FF" w14:textId="77777777" w:rsidR="00B36491" w:rsidRPr="001306B4" w:rsidRDefault="00B36491" w:rsidP="00B3649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A2C55" w14:textId="77777777" w:rsidR="00B36491" w:rsidRDefault="00B36491" w:rsidP="00B3649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8C17D2E" w14:textId="07D482A7" w:rsidR="005B3D6B" w:rsidRPr="00FE2A8E" w:rsidRDefault="005B3D6B" w:rsidP="00FE2A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sectPr w:rsidR="005B3D6B" w:rsidRPr="00FE2A8E" w:rsidSect="00130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B4"/>
    <w:rsid w:val="001306B4"/>
    <w:rsid w:val="005B3D6B"/>
    <w:rsid w:val="00A21740"/>
    <w:rsid w:val="00B36491"/>
    <w:rsid w:val="00B83E72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737C2"/>
  <w15:chartTrackingRefBased/>
  <w15:docId w15:val="{D2328E5E-3407-ED4E-99D0-87348B3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Chissim</dc:creator>
  <cp:keywords/>
  <dc:description/>
  <cp:lastModifiedBy>Frankie Chissim</cp:lastModifiedBy>
  <cp:revision>1</cp:revision>
  <dcterms:created xsi:type="dcterms:W3CDTF">2024-02-08T17:21:00Z</dcterms:created>
  <dcterms:modified xsi:type="dcterms:W3CDTF">2024-02-08T17:56:00Z</dcterms:modified>
</cp:coreProperties>
</file>