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17D4D" w14:textId="77777777" w:rsidR="00F17BA5" w:rsidRPr="00E82482" w:rsidRDefault="00F17BA5" w:rsidP="00214B9A">
      <w:pPr>
        <w:tabs>
          <w:tab w:val="left" w:pos="6885"/>
        </w:tabs>
        <w:rPr>
          <w:rFonts w:ascii="Arial" w:hAnsi="Arial" w:cs="Arial"/>
        </w:rPr>
      </w:pPr>
      <w:bookmarkStart w:id="0" w:name="_GoBack"/>
      <w:bookmarkEnd w:id="0"/>
    </w:p>
    <w:p w14:paraId="0A50DBE0" w14:textId="0E91EC86" w:rsidR="00223B44" w:rsidRPr="00E82482" w:rsidRDefault="00AF22DD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Spring</w:t>
      </w:r>
      <w:r w:rsidR="004F39A6">
        <w:rPr>
          <w:rFonts w:ascii="Arial" w:hAnsi="Arial" w:cs="Arial"/>
          <w:b/>
          <w:sz w:val="28"/>
        </w:rPr>
        <w:t xml:space="preserve"> Term</w:t>
      </w:r>
      <w:r w:rsidR="00C63773" w:rsidRPr="00E82482">
        <w:rPr>
          <w:rFonts w:ascii="Arial" w:hAnsi="Arial" w:cs="Arial"/>
          <w:b/>
          <w:sz w:val="28"/>
        </w:rPr>
        <w:t xml:space="preserve"> </w:t>
      </w:r>
      <w:r w:rsidR="009445DB">
        <w:rPr>
          <w:rFonts w:ascii="Arial" w:hAnsi="Arial" w:cs="Arial"/>
          <w:b/>
          <w:sz w:val="28"/>
        </w:rPr>
        <w:t>202</w:t>
      </w:r>
      <w:r w:rsidR="00964527">
        <w:rPr>
          <w:rFonts w:ascii="Arial" w:hAnsi="Arial" w:cs="Arial"/>
          <w:b/>
          <w:sz w:val="28"/>
        </w:rPr>
        <w:t>3</w:t>
      </w:r>
    </w:p>
    <w:p w14:paraId="5B0FDF3D" w14:textId="77777777" w:rsidR="00C63773" w:rsidRPr="00E82482" w:rsidRDefault="00C63773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</w:rPr>
      </w:pPr>
      <w:r w:rsidRPr="00E82482">
        <w:rPr>
          <w:rFonts w:ascii="Arial" w:hAnsi="Arial" w:cs="Arial"/>
          <w:b/>
          <w:sz w:val="28"/>
        </w:rPr>
        <w:t>Pupil Absence Report</w:t>
      </w:r>
    </w:p>
    <w:p w14:paraId="0AF41037" w14:textId="18D5D41C" w:rsidR="002302CB" w:rsidRDefault="00537C03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Cranbrook Primary</w:t>
      </w:r>
      <w:r w:rsidR="00BE6109">
        <w:rPr>
          <w:rFonts w:ascii="Arial" w:hAnsi="Arial" w:cs="Arial"/>
          <w:b/>
          <w:sz w:val="28"/>
        </w:rPr>
        <w:t xml:space="preserve"> School</w:t>
      </w:r>
    </w:p>
    <w:p w14:paraId="3BE3F076" w14:textId="328CB5B6" w:rsidR="004E1908" w:rsidRDefault="004E1908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</w:rPr>
      </w:pPr>
    </w:p>
    <w:p w14:paraId="5B23CE99" w14:textId="07B9A85D" w:rsidR="004E1908" w:rsidRDefault="004E1908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</w:rPr>
      </w:pPr>
    </w:p>
    <w:p w14:paraId="787CB706" w14:textId="77777777" w:rsidR="004E1908" w:rsidRDefault="004E1908" w:rsidP="00F17BA5">
      <w:pPr>
        <w:tabs>
          <w:tab w:val="left" w:pos="6885"/>
        </w:tabs>
        <w:jc w:val="center"/>
        <w:rPr>
          <w:rFonts w:ascii="Arial" w:hAnsi="Arial" w:cs="Arial"/>
          <w:b/>
          <w:sz w:val="28"/>
          <w:u w:val="single"/>
        </w:rPr>
      </w:pPr>
    </w:p>
    <w:p w14:paraId="1E3CD9C4" w14:textId="4B190E8C" w:rsidR="00E82482" w:rsidRDefault="00E82482" w:rsidP="00750284">
      <w:pPr>
        <w:jc w:val="both"/>
        <w:rPr>
          <w:rFonts w:cstheme="minorHAnsi"/>
          <w:sz w:val="24"/>
          <w:szCs w:val="24"/>
        </w:rPr>
      </w:pPr>
    </w:p>
    <w:p w14:paraId="1B4FE169" w14:textId="628736BC" w:rsidR="004E1908" w:rsidRDefault="004E1908" w:rsidP="00750284">
      <w:pPr>
        <w:jc w:val="both"/>
        <w:rPr>
          <w:rFonts w:cstheme="minorHAnsi"/>
          <w:sz w:val="24"/>
          <w:szCs w:val="24"/>
        </w:rPr>
      </w:pPr>
    </w:p>
    <w:p w14:paraId="784BAFF9" w14:textId="77777777" w:rsidR="004E1908" w:rsidRDefault="004E1908" w:rsidP="00750284">
      <w:pPr>
        <w:jc w:val="both"/>
        <w:rPr>
          <w:rFonts w:cstheme="minorHAnsi"/>
          <w:sz w:val="24"/>
          <w:szCs w:val="24"/>
        </w:rPr>
      </w:pPr>
    </w:p>
    <w:p w14:paraId="159713F2" w14:textId="1A397BED" w:rsidR="009445DB" w:rsidRDefault="00B30DF8" w:rsidP="007502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national average from this DfE release is derived from the pupil level school census.</w:t>
      </w:r>
    </w:p>
    <w:p w14:paraId="3C224B3A" w14:textId="0AACBDD9" w:rsidR="00AF22DD" w:rsidRDefault="00AF22DD" w:rsidP="00750284">
      <w:pPr>
        <w:jc w:val="both"/>
        <w:rPr>
          <w:rFonts w:cstheme="minorHAnsi"/>
          <w:sz w:val="24"/>
          <w:szCs w:val="24"/>
        </w:rPr>
      </w:pPr>
    </w:p>
    <w:p w14:paraId="1FFBF624" w14:textId="3D5290B0" w:rsidR="00AF22DD" w:rsidRDefault="00AF22DD" w:rsidP="007502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Attendance</w:t>
      </w:r>
    </w:p>
    <w:p w14:paraId="23857A1E" w14:textId="52AAA3FE" w:rsidR="00AF22DD" w:rsidRDefault="00AF22DD" w:rsidP="00750284">
      <w:pPr>
        <w:jc w:val="both"/>
        <w:rPr>
          <w:rFonts w:cstheme="minorHAnsi"/>
          <w:sz w:val="24"/>
          <w:szCs w:val="24"/>
        </w:rPr>
      </w:pPr>
    </w:p>
    <w:p w14:paraId="74927A99" w14:textId="59BD8D99" w:rsidR="0043221B" w:rsidRDefault="00B30DF8" w:rsidP="007502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Absence rates have been higher than previously throughout 2021/2022.</w:t>
      </w:r>
    </w:p>
    <w:p w14:paraId="57EE1327" w14:textId="516614B4" w:rsidR="00B30DF8" w:rsidRDefault="00B30DF8" w:rsidP="007502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Illness was the major driver of overall absence.</w:t>
      </w:r>
    </w:p>
    <w:p w14:paraId="3EE7096E" w14:textId="6D155E35" w:rsidR="00B30DF8" w:rsidRDefault="00B30DF8" w:rsidP="007502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Authorised absence rate was higher than previous years, driven by increases in illness absence, there was an increase in unauthorised absence from </w:t>
      </w:r>
      <w:proofErr w:type="gramStart"/>
      <w:r>
        <w:rPr>
          <w:rFonts w:cstheme="minorHAnsi"/>
          <w:sz w:val="24"/>
          <w:szCs w:val="24"/>
        </w:rPr>
        <w:t>Spring</w:t>
      </w:r>
      <w:proofErr w:type="gramEnd"/>
      <w:r>
        <w:rPr>
          <w:rFonts w:cstheme="minorHAnsi"/>
          <w:sz w:val="24"/>
          <w:szCs w:val="24"/>
        </w:rPr>
        <w:t xml:space="preserve"> term to</w:t>
      </w:r>
      <w:r w:rsidR="007456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Summer term, in part driven by an increase in unauthorised holidays.</w:t>
      </w:r>
    </w:p>
    <w:p w14:paraId="36452953" w14:textId="77777777" w:rsidR="0043221B" w:rsidRPr="00AF22DD" w:rsidRDefault="0043221B" w:rsidP="00750284">
      <w:pPr>
        <w:jc w:val="both"/>
        <w:rPr>
          <w:rFonts w:cstheme="minorHAnsi"/>
          <w:sz w:val="24"/>
          <w:szCs w:val="24"/>
        </w:rPr>
      </w:pPr>
    </w:p>
    <w:p w14:paraId="29ED7512" w14:textId="1242D5CA" w:rsidR="00DC2612" w:rsidRPr="00750284" w:rsidRDefault="00DC2612" w:rsidP="00750284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2693"/>
      </w:tblGrid>
      <w:tr w:rsidR="00026154" w:rsidRPr="00750284" w14:paraId="57CEF829" w14:textId="77777777" w:rsidTr="000D4F04">
        <w:trPr>
          <w:trHeight w:val="1229"/>
        </w:trPr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61CD" w14:textId="0729D148" w:rsidR="00026154" w:rsidRPr="00750284" w:rsidRDefault="004E1908" w:rsidP="0075028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 w:type="page"/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8CB9"/>
            <w:vAlign w:val="center"/>
          </w:tcPr>
          <w:p w14:paraId="5D019E62" w14:textId="4C697535" w:rsidR="00026154" w:rsidRPr="00750284" w:rsidRDefault="00026154" w:rsidP="00240A98">
            <w:pPr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>School data</w:t>
            </w:r>
          </w:p>
          <w:p w14:paraId="2225F630" w14:textId="2AB7669B" w:rsidR="00BE6109" w:rsidRPr="00750284" w:rsidRDefault="0010201A" w:rsidP="00240A98">
            <w:pPr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color w:val="FFFFFF"/>
                <w:sz w:val="24"/>
                <w:szCs w:val="24"/>
              </w:rPr>
              <w:t>Period: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8CB9"/>
            <w:vAlign w:val="center"/>
          </w:tcPr>
          <w:p w14:paraId="467433C2" w14:textId="77777777" w:rsidR="00026154" w:rsidRPr="00750284" w:rsidRDefault="00026154" w:rsidP="00240A98">
            <w:pPr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>National data</w:t>
            </w:r>
          </w:p>
          <w:p w14:paraId="14459A4B" w14:textId="5578AE73" w:rsidR="00026154" w:rsidRDefault="00B30DF8" w:rsidP="00240A98">
            <w:pPr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color w:val="FFFFFF"/>
                <w:sz w:val="24"/>
                <w:szCs w:val="24"/>
              </w:rPr>
              <w:t>2021/2022</w:t>
            </w:r>
          </w:p>
          <w:p w14:paraId="72F2630E" w14:textId="1BBB591A" w:rsidR="00EB4505" w:rsidRPr="00750284" w:rsidRDefault="00EB4505" w:rsidP="00240A98">
            <w:pPr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color w:val="FFFFFF"/>
                <w:sz w:val="24"/>
                <w:szCs w:val="24"/>
              </w:rPr>
              <w:t>(pre-</w:t>
            </w:r>
            <w:r w:rsidR="003A66C8">
              <w:rPr>
                <w:rFonts w:cstheme="minorHAnsi"/>
                <w:b/>
                <w:color w:val="FFFFFF"/>
                <w:sz w:val="24"/>
                <w:szCs w:val="24"/>
              </w:rPr>
              <w:t>L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 xml:space="preserve">ockdown </w:t>
            </w:r>
            <w:r w:rsidR="003A66C8">
              <w:rPr>
                <w:rFonts w:cstheme="minorHAnsi"/>
                <w:b/>
                <w:color w:val="FFFFFF"/>
                <w:sz w:val="24"/>
                <w:szCs w:val="24"/>
              </w:rPr>
              <w:t>N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 xml:space="preserve">ational </w:t>
            </w:r>
            <w:r w:rsidR="003A66C8">
              <w:rPr>
                <w:rFonts w:cstheme="minorHAnsi"/>
                <w:b/>
                <w:color w:val="FFFFFF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>verage)</w:t>
            </w:r>
          </w:p>
        </w:tc>
      </w:tr>
      <w:tr w:rsidR="00026154" w:rsidRPr="00750284" w14:paraId="0A511129" w14:textId="77777777" w:rsidTr="000D4F04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3A132246" w14:textId="25A3E7E9" w:rsidR="00026154" w:rsidRPr="00750284" w:rsidRDefault="00026154" w:rsidP="00750284">
            <w:pPr>
              <w:jc w:val="both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 xml:space="preserve">Overall </w:t>
            </w:r>
            <w:r w:rsidR="00514C74">
              <w:rPr>
                <w:rFonts w:cstheme="minorHAnsi"/>
                <w:b/>
                <w:color w:val="FFFFFF"/>
                <w:sz w:val="24"/>
                <w:szCs w:val="24"/>
              </w:rPr>
              <w:t>attendance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7A84" w14:textId="77777777" w:rsidR="00EB5AB9" w:rsidRDefault="003B602B" w:rsidP="00EB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Overall </w:t>
            </w:r>
            <w:r w:rsidR="000C1C5B">
              <w:rPr>
                <w:rFonts w:cstheme="minorHAnsi"/>
                <w:sz w:val="24"/>
                <w:szCs w:val="24"/>
              </w:rPr>
              <w:t>91.8%</w:t>
            </w:r>
          </w:p>
          <w:p w14:paraId="0B16A80E" w14:textId="5F702766" w:rsidR="003B602B" w:rsidRPr="00750284" w:rsidRDefault="003B602B" w:rsidP="00EB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 1 to 6 = 92.36%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BCC7F" w14:textId="38A491A5" w:rsidR="00026154" w:rsidRPr="00750284" w:rsidRDefault="00BE6109" w:rsidP="000261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Prim: </w:t>
            </w:r>
            <w:r w:rsidR="00B30DF8">
              <w:rPr>
                <w:rFonts w:cstheme="minorHAnsi"/>
                <w:sz w:val="24"/>
                <w:szCs w:val="24"/>
              </w:rPr>
              <w:t>93.7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26154" w:rsidRPr="00750284" w14:paraId="6BAA6CDE" w14:textId="77777777" w:rsidTr="000D4F04">
        <w:trPr>
          <w:trHeight w:val="397"/>
        </w:trPr>
        <w:tc>
          <w:tcPr>
            <w:tcW w:w="2270" w:type="dxa"/>
            <w:tcBorders>
              <w:top w:val="single" w:sz="4" w:space="0" w:color="auto"/>
            </w:tcBorders>
            <w:shd w:val="clear" w:color="auto" w:fill="008CB9"/>
            <w:vAlign w:val="center"/>
          </w:tcPr>
          <w:p w14:paraId="630C1075" w14:textId="77777777" w:rsidR="00026154" w:rsidRPr="00750284" w:rsidRDefault="00026154" w:rsidP="00750284">
            <w:pPr>
              <w:jc w:val="both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>Authorised absence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04C0B" w14:textId="70E5C843" w:rsidR="00EB5AB9" w:rsidRPr="00750284" w:rsidRDefault="003B602B" w:rsidP="00EB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Overall </w:t>
            </w:r>
            <w:r w:rsidR="000C1C5B">
              <w:rPr>
                <w:rFonts w:cstheme="minorHAnsi"/>
                <w:sz w:val="24"/>
                <w:szCs w:val="24"/>
              </w:rPr>
              <w:t>6.7%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6EC76" w14:textId="113C13C3" w:rsidR="00026154" w:rsidRPr="00750284" w:rsidRDefault="00BE6109" w:rsidP="000261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Prim: </w:t>
            </w:r>
            <w:r w:rsidR="00B30DF8">
              <w:rPr>
                <w:rFonts w:cstheme="minorHAnsi"/>
                <w:sz w:val="24"/>
                <w:szCs w:val="24"/>
              </w:rPr>
              <w:t>4.8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26154" w:rsidRPr="00750284" w14:paraId="5C81B9FE" w14:textId="77777777" w:rsidTr="000D4F04">
        <w:trPr>
          <w:trHeight w:val="397"/>
        </w:trPr>
        <w:tc>
          <w:tcPr>
            <w:tcW w:w="2270" w:type="dxa"/>
            <w:shd w:val="clear" w:color="auto" w:fill="008CB9"/>
            <w:vAlign w:val="center"/>
          </w:tcPr>
          <w:p w14:paraId="041F6030" w14:textId="77777777" w:rsidR="00026154" w:rsidRPr="00750284" w:rsidRDefault="00026154" w:rsidP="00750284">
            <w:pPr>
              <w:jc w:val="both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>Unauthorised absence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2B9B554" w14:textId="277210CE" w:rsidR="00EB5AB9" w:rsidRPr="00750284" w:rsidRDefault="003B602B" w:rsidP="00EB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Overall </w:t>
            </w:r>
            <w:r w:rsidR="000C1C5B">
              <w:rPr>
                <w:rFonts w:cstheme="minorHAnsi"/>
                <w:sz w:val="24"/>
                <w:szCs w:val="24"/>
              </w:rPr>
              <w:t>1.5%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0E158" w14:textId="501EDBF2" w:rsidR="00026154" w:rsidRPr="00750284" w:rsidRDefault="00BE6109" w:rsidP="000261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Prim: 1.</w:t>
            </w:r>
            <w:r w:rsidR="00B30DF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26154" w:rsidRPr="00750284" w14:paraId="21955259" w14:textId="77777777" w:rsidTr="000D4F04">
        <w:trPr>
          <w:trHeight w:val="435"/>
        </w:trPr>
        <w:tc>
          <w:tcPr>
            <w:tcW w:w="2270" w:type="dxa"/>
            <w:shd w:val="clear" w:color="auto" w:fill="008CB9"/>
            <w:vAlign w:val="center"/>
          </w:tcPr>
          <w:p w14:paraId="77C93AFC" w14:textId="77777777" w:rsidR="00026154" w:rsidRPr="00750284" w:rsidRDefault="00026154" w:rsidP="00750284">
            <w:pPr>
              <w:jc w:val="both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 xml:space="preserve">Persistent absence </w:t>
            </w:r>
          </w:p>
          <w:p w14:paraId="7DE8BD18" w14:textId="77777777" w:rsidR="00026154" w:rsidRPr="00750284" w:rsidRDefault="00026154" w:rsidP="00750284">
            <w:pPr>
              <w:jc w:val="both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750284">
              <w:rPr>
                <w:rFonts w:cstheme="minorHAnsi"/>
                <w:b/>
                <w:color w:val="FFFFFF"/>
                <w:sz w:val="24"/>
                <w:szCs w:val="24"/>
              </w:rPr>
              <w:t>PA students below 10% threshold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309BD4C" w14:textId="3AD3B6D1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 = </w:t>
            </w:r>
            <w:r w:rsidR="000C1C5B">
              <w:rPr>
                <w:rFonts w:cstheme="minorHAnsi"/>
                <w:sz w:val="24"/>
                <w:szCs w:val="24"/>
              </w:rPr>
              <w:t>64</w:t>
            </w:r>
          </w:p>
          <w:p w14:paraId="781F61B7" w14:textId="418E79B8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 =</w:t>
            </w:r>
            <w:r w:rsidR="000C1C5B">
              <w:rPr>
                <w:rFonts w:cstheme="minorHAnsi"/>
                <w:sz w:val="24"/>
                <w:szCs w:val="24"/>
              </w:rPr>
              <w:t xml:space="preserve"> 43</w:t>
            </w:r>
          </w:p>
          <w:p w14:paraId="34BF9986" w14:textId="3FF0DAFF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2 =</w:t>
            </w:r>
            <w:r w:rsidR="000C1C5B">
              <w:rPr>
                <w:rFonts w:cstheme="minorHAnsi"/>
                <w:sz w:val="24"/>
                <w:szCs w:val="24"/>
              </w:rPr>
              <w:t xml:space="preserve"> 35</w:t>
            </w:r>
          </w:p>
          <w:p w14:paraId="6282CD10" w14:textId="01C0BF37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=</w:t>
            </w:r>
            <w:r w:rsidR="000C1C5B">
              <w:rPr>
                <w:rFonts w:cstheme="minorHAnsi"/>
                <w:sz w:val="24"/>
                <w:szCs w:val="24"/>
              </w:rPr>
              <w:t xml:space="preserve"> 25</w:t>
            </w:r>
          </w:p>
          <w:p w14:paraId="2CD975A8" w14:textId="004DE06D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4 =</w:t>
            </w:r>
            <w:r w:rsidR="000C1C5B">
              <w:rPr>
                <w:rFonts w:cstheme="minorHAnsi"/>
                <w:sz w:val="24"/>
                <w:szCs w:val="24"/>
              </w:rPr>
              <w:t xml:space="preserve"> 32</w:t>
            </w:r>
          </w:p>
          <w:p w14:paraId="63742CE8" w14:textId="323742CC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5 =</w:t>
            </w:r>
            <w:r w:rsidR="000C1C5B">
              <w:rPr>
                <w:rFonts w:cstheme="minorHAnsi"/>
                <w:sz w:val="24"/>
                <w:szCs w:val="24"/>
              </w:rPr>
              <w:t xml:space="preserve"> 25</w:t>
            </w:r>
          </w:p>
          <w:p w14:paraId="5266FCC3" w14:textId="36BA2A79" w:rsidR="00745621" w:rsidRDefault="00745621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6 =</w:t>
            </w:r>
            <w:r w:rsidR="000C1C5B">
              <w:rPr>
                <w:rFonts w:cstheme="minorHAnsi"/>
                <w:sz w:val="24"/>
                <w:szCs w:val="24"/>
              </w:rPr>
              <w:t xml:space="preserve"> 23</w:t>
            </w:r>
          </w:p>
          <w:p w14:paraId="1EFC2AC4" w14:textId="4B016DA1" w:rsidR="000C1C5B" w:rsidRDefault="000C1C5B" w:rsidP="000D4F04">
            <w:pPr>
              <w:rPr>
                <w:rFonts w:cstheme="minorHAnsi"/>
                <w:sz w:val="24"/>
                <w:szCs w:val="24"/>
              </w:rPr>
            </w:pPr>
          </w:p>
          <w:p w14:paraId="10D79DD2" w14:textId="1F9552FB" w:rsidR="000C1C5B" w:rsidRDefault="003B602B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Overall </w:t>
            </w:r>
            <w:r w:rsidR="000C1C5B">
              <w:rPr>
                <w:rFonts w:cstheme="minorHAnsi"/>
                <w:sz w:val="24"/>
                <w:szCs w:val="24"/>
              </w:rPr>
              <w:t>29.75%</w:t>
            </w:r>
          </w:p>
          <w:p w14:paraId="3E9D1C29" w14:textId="06B7881E" w:rsidR="003B602B" w:rsidRDefault="003B602B" w:rsidP="000D4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 to 6 = TBA</w:t>
            </w:r>
          </w:p>
          <w:p w14:paraId="64AB431E" w14:textId="4AE8AE07" w:rsidR="00745621" w:rsidRPr="00750284" w:rsidRDefault="00745621" w:rsidP="000D4F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91550F" w14:textId="342D5F4B" w:rsidR="00BE6109" w:rsidRDefault="00BE6109" w:rsidP="000261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Prim: </w:t>
            </w:r>
            <w:r w:rsidR="00745621">
              <w:rPr>
                <w:rFonts w:cstheme="minorHAnsi"/>
                <w:sz w:val="24"/>
                <w:szCs w:val="24"/>
              </w:rPr>
              <w:t>17.7</w:t>
            </w:r>
            <w:r>
              <w:rPr>
                <w:rFonts w:cstheme="minorHAnsi"/>
                <w:sz w:val="24"/>
                <w:szCs w:val="24"/>
              </w:rPr>
              <w:t>%</w:t>
            </w:r>
            <w:r w:rsidR="000D4F0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74094A" w14:textId="5B691796" w:rsidR="00026154" w:rsidRPr="00750284" w:rsidRDefault="00026154" w:rsidP="000261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C1323C" w14:textId="5179D7A5" w:rsidR="00F82549" w:rsidRDefault="00F82549" w:rsidP="00750284">
      <w:pPr>
        <w:jc w:val="both"/>
        <w:rPr>
          <w:rFonts w:cstheme="minorHAnsi"/>
          <w:b/>
          <w:sz w:val="24"/>
          <w:szCs w:val="24"/>
        </w:rPr>
      </w:pPr>
    </w:p>
    <w:p w14:paraId="12730B5C" w14:textId="77777777" w:rsidR="00A01853" w:rsidRDefault="00A01853" w:rsidP="00750284">
      <w:pPr>
        <w:jc w:val="both"/>
        <w:rPr>
          <w:rFonts w:cstheme="minorHAnsi"/>
          <w:b/>
          <w:sz w:val="24"/>
          <w:szCs w:val="24"/>
        </w:rPr>
      </w:pPr>
    </w:p>
    <w:p w14:paraId="52354124" w14:textId="22E6FC8A" w:rsidR="00A01853" w:rsidRPr="00A01853" w:rsidRDefault="00A01853" w:rsidP="00750284">
      <w:pPr>
        <w:jc w:val="both"/>
        <w:rPr>
          <w:rFonts w:cstheme="minorHAnsi"/>
          <w:b/>
          <w:sz w:val="24"/>
          <w:szCs w:val="24"/>
        </w:rPr>
      </w:pPr>
      <w:r w:rsidRPr="00A01853">
        <w:rPr>
          <w:rFonts w:cstheme="minorHAnsi"/>
          <w:b/>
          <w:sz w:val="24"/>
          <w:szCs w:val="24"/>
        </w:rPr>
        <w:t>Absence date by group</w:t>
      </w:r>
    </w:p>
    <w:p w14:paraId="486271BC" w14:textId="28BF59D0" w:rsidR="00A01853" w:rsidRDefault="00A01853" w:rsidP="00750284">
      <w:pPr>
        <w:jc w:val="both"/>
        <w:rPr>
          <w:rFonts w:cstheme="minorHAnsi"/>
          <w:b/>
          <w:sz w:val="24"/>
          <w:szCs w:val="24"/>
        </w:rPr>
      </w:pPr>
      <w:r w:rsidRPr="00A01853">
        <w:rPr>
          <w:rFonts w:cstheme="minorHAnsi"/>
          <w:b/>
          <w:sz w:val="24"/>
          <w:szCs w:val="24"/>
        </w:rPr>
        <w:t>Year Groups</w:t>
      </w:r>
    </w:p>
    <w:p w14:paraId="4FE54067" w14:textId="28E47FF8" w:rsidR="00A01853" w:rsidRDefault="00A01853" w:rsidP="00750284">
      <w:pPr>
        <w:jc w:val="both"/>
        <w:rPr>
          <w:rFonts w:cstheme="minorHAnsi"/>
          <w:b/>
          <w:sz w:val="24"/>
          <w:szCs w:val="24"/>
        </w:rPr>
      </w:pPr>
    </w:p>
    <w:p w14:paraId="62877800" w14:textId="305E7296" w:rsidR="00A01853" w:rsidRPr="00A01853" w:rsidRDefault="00A01853" w:rsidP="00A01853">
      <w:pPr>
        <w:tabs>
          <w:tab w:val="left" w:pos="6804"/>
        </w:tabs>
        <w:jc w:val="both"/>
        <w:rPr>
          <w:rFonts w:cstheme="minorHAnsi"/>
          <w:sz w:val="24"/>
          <w:szCs w:val="24"/>
        </w:rPr>
      </w:pPr>
      <w:r w:rsidRPr="00A01853">
        <w:rPr>
          <w:rFonts w:cstheme="minorHAnsi"/>
          <w:sz w:val="24"/>
          <w:szCs w:val="24"/>
        </w:rPr>
        <w:t>Reception</w:t>
      </w:r>
      <w:r w:rsidR="00306A15">
        <w:rPr>
          <w:rFonts w:cstheme="minorHAnsi"/>
          <w:sz w:val="24"/>
          <w:szCs w:val="24"/>
        </w:rPr>
        <w:t xml:space="preserve">- </w:t>
      </w:r>
      <w:r w:rsidR="000C1C5B">
        <w:rPr>
          <w:rFonts w:cstheme="minorHAnsi"/>
          <w:sz w:val="24"/>
          <w:szCs w:val="24"/>
        </w:rPr>
        <w:t>87.7%</w:t>
      </w:r>
    </w:p>
    <w:p w14:paraId="02137EF5" w14:textId="580ED368" w:rsidR="00A01853" w:rsidRDefault="00A01853" w:rsidP="00645941">
      <w:pPr>
        <w:tabs>
          <w:tab w:val="left" w:pos="851"/>
          <w:tab w:val="left" w:pos="1418"/>
          <w:tab w:val="left" w:pos="3402"/>
          <w:tab w:val="left" w:pos="4253"/>
          <w:tab w:val="left" w:pos="4678"/>
          <w:tab w:val="left" w:pos="6804"/>
        </w:tabs>
        <w:jc w:val="both"/>
        <w:rPr>
          <w:rFonts w:cstheme="minorHAnsi"/>
          <w:bCs/>
          <w:sz w:val="24"/>
          <w:szCs w:val="24"/>
        </w:rPr>
      </w:pPr>
      <w:r w:rsidRPr="00A01853">
        <w:rPr>
          <w:rFonts w:cstheme="minorHAnsi"/>
          <w:sz w:val="24"/>
          <w:szCs w:val="24"/>
        </w:rPr>
        <w:t>Y</w:t>
      </w:r>
      <w:r w:rsidR="0010201A">
        <w:rPr>
          <w:rFonts w:cstheme="minorHAnsi"/>
          <w:sz w:val="24"/>
          <w:szCs w:val="24"/>
        </w:rPr>
        <w:t>ea</w:t>
      </w:r>
      <w:r w:rsidRPr="00A01853">
        <w:rPr>
          <w:rFonts w:cstheme="minorHAnsi"/>
          <w:sz w:val="24"/>
          <w:szCs w:val="24"/>
        </w:rPr>
        <w:t xml:space="preserve">r 1 </w:t>
      </w:r>
      <w:r w:rsidR="00306A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C1C5B">
        <w:rPr>
          <w:rFonts w:cstheme="minorHAnsi"/>
          <w:sz w:val="24"/>
          <w:szCs w:val="24"/>
        </w:rPr>
        <w:t>90.7%</w:t>
      </w:r>
      <w:r w:rsidR="00306A15">
        <w:rPr>
          <w:rFonts w:cstheme="minorHAnsi"/>
          <w:sz w:val="24"/>
          <w:szCs w:val="24"/>
        </w:rPr>
        <w:tab/>
      </w:r>
      <w:r w:rsidR="00306A15">
        <w:rPr>
          <w:rFonts w:cstheme="minorHAnsi"/>
          <w:bCs/>
          <w:sz w:val="24"/>
          <w:szCs w:val="24"/>
        </w:rPr>
        <w:tab/>
        <w:t xml:space="preserve">       </w:t>
      </w:r>
    </w:p>
    <w:p w14:paraId="3E466F0E" w14:textId="4EA9E164" w:rsidR="00390C02" w:rsidRDefault="00390C02" w:rsidP="00645941">
      <w:pPr>
        <w:tabs>
          <w:tab w:val="left" w:pos="851"/>
          <w:tab w:val="left" w:pos="1418"/>
          <w:tab w:val="left" w:pos="3402"/>
          <w:tab w:val="left" w:pos="4253"/>
          <w:tab w:val="left" w:pos="4678"/>
          <w:tab w:val="left" w:pos="6804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Y</w:t>
      </w:r>
      <w:r w:rsidR="0010201A">
        <w:rPr>
          <w:rFonts w:cstheme="minorHAnsi"/>
          <w:bCs/>
          <w:sz w:val="24"/>
          <w:szCs w:val="24"/>
        </w:rPr>
        <w:t>ea</w:t>
      </w:r>
      <w:r>
        <w:rPr>
          <w:rFonts w:cstheme="minorHAnsi"/>
          <w:bCs/>
          <w:sz w:val="24"/>
          <w:szCs w:val="24"/>
        </w:rPr>
        <w:t>r 2</w:t>
      </w:r>
      <w:r w:rsidR="00306A15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0C1C5B">
        <w:rPr>
          <w:rFonts w:cstheme="minorHAnsi"/>
          <w:bCs/>
          <w:sz w:val="24"/>
          <w:szCs w:val="24"/>
        </w:rPr>
        <w:t>92.1%</w:t>
      </w:r>
      <w:r w:rsidR="00306A15">
        <w:rPr>
          <w:rFonts w:cstheme="minorHAnsi"/>
          <w:bCs/>
          <w:sz w:val="24"/>
          <w:szCs w:val="24"/>
        </w:rPr>
        <w:tab/>
      </w:r>
      <w:r w:rsidR="00306A15">
        <w:rPr>
          <w:rFonts w:cstheme="minorHAnsi"/>
          <w:bCs/>
          <w:sz w:val="24"/>
          <w:szCs w:val="24"/>
        </w:rPr>
        <w:tab/>
        <w:t xml:space="preserve">       </w:t>
      </w:r>
    </w:p>
    <w:p w14:paraId="30799A75" w14:textId="7DF2EFA7" w:rsidR="00390C02" w:rsidRDefault="00390C02" w:rsidP="00645941">
      <w:pPr>
        <w:tabs>
          <w:tab w:val="left" w:pos="851"/>
          <w:tab w:val="left" w:pos="1418"/>
          <w:tab w:val="left" w:pos="3402"/>
          <w:tab w:val="left" w:pos="4253"/>
          <w:tab w:val="left" w:pos="4678"/>
          <w:tab w:val="left" w:pos="680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10201A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r 3</w:t>
      </w:r>
      <w:r w:rsidR="00306A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C1C5B">
        <w:rPr>
          <w:rFonts w:cstheme="minorHAnsi"/>
          <w:sz w:val="24"/>
          <w:szCs w:val="24"/>
        </w:rPr>
        <w:t>93.3%</w:t>
      </w:r>
      <w:r w:rsidR="00306A15">
        <w:rPr>
          <w:rFonts w:cstheme="minorHAnsi"/>
          <w:sz w:val="24"/>
          <w:szCs w:val="24"/>
        </w:rPr>
        <w:tab/>
        <w:t xml:space="preserve"> </w:t>
      </w:r>
    </w:p>
    <w:p w14:paraId="64CD71B4" w14:textId="39141303" w:rsidR="00390C02" w:rsidRDefault="0010201A" w:rsidP="00645941">
      <w:pPr>
        <w:tabs>
          <w:tab w:val="left" w:pos="851"/>
          <w:tab w:val="left" w:pos="1418"/>
          <w:tab w:val="left" w:pos="3402"/>
          <w:tab w:val="left" w:pos="4253"/>
          <w:tab w:val="left" w:pos="4678"/>
          <w:tab w:val="left" w:pos="680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Yea</w:t>
      </w:r>
      <w:r w:rsidR="00390C02">
        <w:rPr>
          <w:rFonts w:cstheme="minorHAnsi"/>
          <w:sz w:val="24"/>
          <w:szCs w:val="24"/>
        </w:rPr>
        <w:t>r 4</w:t>
      </w:r>
      <w:r w:rsidR="00306A15">
        <w:rPr>
          <w:rFonts w:cstheme="minorHAnsi"/>
          <w:sz w:val="24"/>
          <w:szCs w:val="24"/>
        </w:rPr>
        <w:tab/>
      </w:r>
      <w:r w:rsidR="00390C02">
        <w:rPr>
          <w:rFonts w:cstheme="minorHAnsi"/>
          <w:sz w:val="24"/>
          <w:szCs w:val="24"/>
        </w:rPr>
        <w:tab/>
      </w:r>
      <w:r w:rsidR="000C1C5B">
        <w:rPr>
          <w:rFonts w:cstheme="minorHAnsi"/>
          <w:sz w:val="24"/>
          <w:szCs w:val="24"/>
        </w:rPr>
        <w:t>92.2%</w:t>
      </w:r>
      <w:r w:rsidR="00306A15">
        <w:rPr>
          <w:rFonts w:cstheme="minorHAnsi"/>
          <w:sz w:val="24"/>
          <w:szCs w:val="24"/>
        </w:rPr>
        <w:tab/>
        <w:t xml:space="preserve"> </w:t>
      </w:r>
    </w:p>
    <w:p w14:paraId="4246D4F9" w14:textId="6876B427" w:rsidR="00390C02" w:rsidRDefault="00390C02" w:rsidP="00645941">
      <w:pPr>
        <w:tabs>
          <w:tab w:val="left" w:pos="851"/>
          <w:tab w:val="left" w:pos="1418"/>
          <w:tab w:val="left" w:pos="3402"/>
          <w:tab w:val="left" w:pos="4253"/>
          <w:tab w:val="left" w:pos="4678"/>
          <w:tab w:val="left" w:pos="6804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10201A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r 5</w:t>
      </w:r>
      <w:r w:rsidR="00306A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C1C5B">
        <w:rPr>
          <w:rFonts w:cstheme="minorHAnsi"/>
          <w:sz w:val="24"/>
          <w:szCs w:val="24"/>
        </w:rPr>
        <w:t>92%</w:t>
      </w:r>
      <w:r w:rsidR="00306A15">
        <w:rPr>
          <w:rFonts w:cstheme="minorHAnsi"/>
          <w:sz w:val="24"/>
          <w:szCs w:val="24"/>
        </w:rPr>
        <w:tab/>
        <w:t xml:space="preserve"> </w:t>
      </w:r>
    </w:p>
    <w:p w14:paraId="5B6DF074" w14:textId="3C9AC04C" w:rsidR="00390C02" w:rsidRDefault="006409E1" w:rsidP="00390C02">
      <w:pPr>
        <w:tabs>
          <w:tab w:val="left" w:pos="851"/>
          <w:tab w:val="left" w:pos="1418"/>
          <w:tab w:val="left" w:pos="3402"/>
          <w:tab w:val="left" w:pos="3969"/>
          <w:tab w:val="left" w:pos="4536"/>
          <w:tab w:val="left" w:pos="6804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Y</w:t>
      </w:r>
      <w:r w:rsidR="0010201A">
        <w:rPr>
          <w:rFonts w:cstheme="minorHAnsi"/>
          <w:bCs/>
          <w:sz w:val="24"/>
          <w:szCs w:val="24"/>
        </w:rPr>
        <w:t>ea</w:t>
      </w:r>
      <w:r>
        <w:rPr>
          <w:rFonts w:cstheme="minorHAnsi"/>
          <w:bCs/>
          <w:sz w:val="24"/>
          <w:szCs w:val="24"/>
        </w:rPr>
        <w:t>r 6</w:t>
      </w:r>
      <w:r>
        <w:rPr>
          <w:rFonts w:cstheme="minorHAnsi"/>
          <w:bCs/>
          <w:sz w:val="24"/>
          <w:szCs w:val="24"/>
        </w:rPr>
        <w:tab/>
      </w:r>
      <w:r w:rsidR="000C1C5B">
        <w:rPr>
          <w:rFonts w:cstheme="minorHAnsi"/>
          <w:bCs/>
          <w:sz w:val="24"/>
          <w:szCs w:val="24"/>
        </w:rPr>
        <w:tab/>
        <w:t>93.9%</w:t>
      </w:r>
    </w:p>
    <w:p w14:paraId="105BC973" w14:textId="77777777" w:rsidR="00390C02" w:rsidRPr="00306A15" w:rsidRDefault="00390C02" w:rsidP="00390C02">
      <w:pPr>
        <w:tabs>
          <w:tab w:val="left" w:pos="851"/>
          <w:tab w:val="left" w:pos="1418"/>
          <w:tab w:val="left" w:pos="3402"/>
          <w:tab w:val="left" w:pos="3969"/>
          <w:tab w:val="left" w:pos="4536"/>
          <w:tab w:val="left" w:pos="6804"/>
        </w:tabs>
        <w:jc w:val="both"/>
        <w:rPr>
          <w:rFonts w:cstheme="minorHAnsi"/>
          <w:bCs/>
          <w:sz w:val="24"/>
          <w:szCs w:val="24"/>
        </w:rPr>
      </w:pPr>
    </w:p>
    <w:p w14:paraId="1AA4CCFC" w14:textId="77777777" w:rsidR="00390C02" w:rsidRDefault="00390C02" w:rsidP="00390C02">
      <w:pPr>
        <w:tabs>
          <w:tab w:val="left" w:pos="851"/>
          <w:tab w:val="left" w:pos="1418"/>
          <w:tab w:val="left" w:pos="3402"/>
          <w:tab w:val="left" w:pos="3969"/>
          <w:tab w:val="left" w:pos="4536"/>
          <w:tab w:val="left" w:pos="6804"/>
        </w:tabs>
        <w:jc w:val="both"/>
        <w:rPr>
          <w:rFonts w:cstheme="minorHAnsi"/>
          <w:b/>
          <w:sz w:val="24"/>
          <w:szCs w:val="24"/>
        </w:rPr>
      </w:pPr>
    </w:p>
    <w:p w14:paraId="35016E14" w14:textId="77777777" w:rsidR="00B41F9F" w:rsidRDefault="00B41F9F" w:rsidP="00316BAF">
      <w:pPr>
        <w:tabs>
          <w:tab w:val="left" w:pos="6804"/>
        </w:tabs>
        <w:jc w:val="both"/>
        <w:rPr>
          <w:rFonts w:cstheme="minorHAnsi"/>
          <w:b/>
          <w:bCs/>
          <w:sz w:val="24"/>
          <w:szCs w:val="24"/>
        </w:rPr>
      </w:pPr>
    </w:p>
    <w:p w14:paraId="4F38DB31" w14:textId="756B6B54" w:rsidR="00316BAF" w:rsidRDefault="00316BAF" w:rsidP="00316BAF">
      <w:pPr>
        <w:tabs>
          <w:tab w:val="left" w:pos="6804"/>
        </w:tabs>
        <w:jc w:val="both"/>
        <w:rPr>
          <w:rFonts w:cstheme="minorHAnsi"/>
          <w:b/>
          <w:bCs/>
          <w:sz w:val="24"/>
          <w:szCs w:val="24"/>
        </w:rPr>
      </w:pPr>
      <w:r w:rsidRPr="00316BAF">
        <w:rPr>
          <w:rFonts w:cstheme="minorHAnsi"/>
          <w:b/>
          <w:bCs/>
          <w:sz w:val="24"/>
          <w:szCs w:val="24"/>
        </w:rPr>
        <w:t xml:space="preserve">PUPILS </w:t>
      </w:r>
      <w:r w:rsidR="004E06D6">
        <w:rPr>
          <w:rFonts w:cstheme="minorHAnsi"/>
          <w:b/>
          <w:bCs/>
          <w:sz w:val="24"/>
          <w:szCs w:val="24"/>
        </w:rPr>
        <w:t>CURRENTLY BEING MONITORED OR ACTION IMPLEMENTED</w:t>
      </w:r>
      <w:r w:rsidR="00BE6109">
        <w:rPr>
          <w:rFonts w:cstheme="minorHAnsi"/>
          <w:b/>
          <w:bCs/>
          <w:sz w:val="24"/>
          <w:szCs w:val="24"/>
        </w:rPr>
        <w:t>:</w:t>
      </w:r>
    </w:p>
    <w:p w14:paraId="76EA1C18" w14:textId="0E44ABC0" w:rsidR="00B41F9F" w:rsidRDefault="00B41F9F" w:rsidP="00316BAF">
      <w:pPr>
        <w:tabs>
          <w:tab w:val="left" w:pos="6804"/>
        </w:tabs>
        <w:jc w:val="both"/>
        <w:rPr>
          <w:rFonts w:cstheme="minorHAnsi"/>
          <w:b/>
          <w:bCs/>
          <w:sz w:val="24"/>
          <w:szCs w:val="24"/>
        </w:rPr>
      </w:pPr>
    </w:p>
    <w:p w14:paraId="7B7D8EEE" w14:textId="57A492FD" w:rsidR="00B41F9F" w:rsidRDefault="00B41F9F" w:rsidP="00316BAF">
      <w:pPr>
        <w:tabs>
          <w:tab w:val="left" w:pos="6804"/>
        </w:tabs>
        <w:jc w:val="both"/>
        <w:rPr>
          <w:rFonts w:cstheme="minorHAnsi"/>
          <w:sz w:val="24"/>
          <w:szCs w:val="24"/>
        </w:rPr>
      </w:pPr>
      <w:r w:rsidRPr="00B41F9F">
        <w:rPr>
          <w:rFonts w:cstheme="minorHAnsi"/>
          <w:sz w:val="24"/>
          <w:szCs w:val="24"/>
        </w:rPr>
        <w:t>All pupils with 90% or less</w:t>
      </w:r>
      <w:r w:rsidR="00745621">
        <w:rPr>
          <w:rFonts w:cstheme="minorHAnsi"/>
          <w:sz w:val="24"/>
          <w:szCs w:val="24"/>
        </w:rPr>
        <w:t xml:space="preserve"> identified as persistent absentees.</w:t>
      </w:r>
    </w:p>
    <w:p w14:paraId="664F45B7" w14:textId="77777777" w:rsidR="00B41F9F" w:rsidRPr="00B41F9F" w:rsidRDefault="00B41F9F" w:rsidP="00316BAF">
      <w:pPr>
        <w:tabs>
          <w:tab w:val="left" w:pos="6804"/>
        </w:tabs>
        <w:jc w:val="both"/>
        <w:rPr>
          <w:rFonts w:cstheme="minorHAnsi"/>
          <w:sz w:val="24"/>
          <w:szCs w:val="24"/>
        </w:rPr>
      </w:pPr>
    </w:p>
    <w:p w14:paraId="5900E8C7" w14:textId="3A04C786" w:rsidR="00F17BA5" w:rsidRPr="00750284" w:rsidRDefault="00F17BA5" w:rsidP="00372F9B">
      <w:pPr>
        <w:tabs>
          <w:tab w:val="left" w:pos="6804"/>
        </w:tabs>
        <w:jc w:val="both"/>
        <w:rPr>
          <w:rFonts w:ascii="Arial" w:hAnsi="Arial" w:cs="Arial"/>
          <w:b/>
        </w:rPr>
      </w:pPr>
      <w:r w:rsidRPr="00750284">
        <w:rPr>
          <w:rFonts w:ascii="Arial" w:hAnsi="Arial" w:cs="Arial"/>
        </w:rPr>
        <w:tab/>
      </w:r>
      <w:r w:rsidRPr="00750284">
        <w:rPr>
          <w:rFonts w:ascii="Arial" w:hAnsi="Arial" w:cs="Arial"/>
        </w:rPr>
        <w:tab/>
      </w:r>
    </w:p>
    <w:sectPr w:rsidR="00F17BA5" w:rsidRPr="00750284" w:rsidSect="00745621">
      <w:headerReference w:type="default" r:id="rId8"/>
      <w:footerReference w:type="even" r:id="rId9"/>
      <w:footerReference w:type="default" r:id="rId10"/>
      <w:pgSz w:w="11906" w:h="16838"/>
      <w:pgMar w:top="1701" w:right="1588" w:bottom="426" w:left="158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ABBA" w14:textId="77777777" w:rsidR="00AA4EA0" w:rsidRDefault="00AA4EA0" w:rsidP="003661C0">
      <w:r>
        <w:separator/>
      </w:r>
    </w:p>
  </w:endnote>
  <w:endnote w:type="continuationSeparator" w:id="0">
    <w:p w14:paraId="6DDE8F96" w14:textId="77777777" w:rsidR="00AA4EA0" w:rsidRDefault="00AA4EA0" w:rsidP="003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17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35467" w14:textId="77777777" w:rsidR="00E65C66" w:rsidRDefault="00E65C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19A7CB" w14:textId="77777777" w:rsidR="006E5D53" w:rsidRDefault="006E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A8DC" w14:textId="77777777" w:rsidR="009602EA" w:rsidRPr="009A41A6" w:rsidRDefault="009602EA" w:rsidP="009602EA">
    <w:pPr>
      <w:spacing w:line="360" w:lineRule="auto"/>
      <w:jc w:val="center"/>
      <w:rPr>
        <w:rFonts w:ascii="Arial" w:hAnsi="Arial" w:cs="Arial"/>
        <w:b/>
        <w:color w:val="002060"/>
        <w:sz w:val="18"/>
        <w:szCs w:val="18"/>
      </w:rPr>
    </w:pPr>
    <w:proofErr w:type="spellStart"/>
    <w:r w:rsidRPr="009A41A6">
      <w:rPr>
        <w:rFonts w:ascii="Arial" w:hAnsi="Arial" w:cs="Arial"/>
        <w:b/>
        <w:color w:val="002060"/>
        <w:sz w:val="18"/>
        <w:szCs w:val="18"/>
      </w:rPr>
      <w:t>Warlies</w:t>
    </w:r>
    <w:proofErr w:type="spellEnd"/>
    <w:r w:rsidRPr="009A41A6">
      <w:rPr>
        <w:rFonts w:ascii="Arial" w:hAnsi="Arial" w:cs="Arial"/>
        <w:b/>
        <w:color w:val="002060"/>
        <w:sz w:val="18"/>
        <w:szCs w:val="18"/>
      </w:rPr>
      <w:t xml:space="preserve"> Park House, </w:t>
    </w:r>
    <w:r>
      <w:rPr>
        <w:rFonts w:ascii="Arial" w:hAnsi="Arial" w:cs="Arial"/>
        <w:b/>
        <w:color w:val="002060"/>
        <w:sz w:val="18"/>
        <w:szCs w:val="18"/>
      </w:rPr>
      <w:t>North Wing</w:t>
    </w:r>
    <w:r w:rsidRPr="009A41A6">
      <w:rPr>
        <w:rFonts w:ascii="Arial" w:hAnsi="Arial" w:cs="Arial"/>
        <w:b/>
        <w:color w:val="002060"/>
        <w:sz w:val="18"/>
        <w:szCs w:val="18"/>
      </w:rPr>
      <w:t xml:space="preserve">, Horseshoe Hill, </w:t>
    </w:r>
    <w:proofErr w:type="spellStart"/>
    <w:r w:rsidRPr="009A41A6">
      <w:rPr>
        <w:rFonts w:ascii="Arial" w:hAnsi="Arial" w:cs="Arial"/>
        <w:b/>
        <w:color w:val="002060"/>
        <w:sz w:val="18"/>
        <w:szCs w:val="18"/>
      </w:rPr>
      <w:t>Upshire</w:t>
    </w:r>
    <w:proofErr w:type="spellEnd"/>
    <w:r w:rsidRPr="009A41A6">
      <w:rPr>
        <w:rFonts w:ascii="Arial" w:hAnsi="Arial" w:cs="Arial"/>
        <w:b/>
        <w:color w:val="002060"/>
        <w:sz w:val="18"/>
        <w:szCs w:val="18"/>
      </w:rPr>
      <w:t>, Essex, EN9 3SL</w:t>
    </w:r>
  </w:p>
  <w:p w14:paraId="0762F3D7" w14:textId="77777777" w:rsidR="009602EA" w:rsidRPr="009A41A6" w:rsidRDefault="009602EA" w:rsidP="009602EA">
    <w:pPr>
      <w:spacing w:line="360" w:lineRule="auto"/>
      <w:jc w:val="center"/>
      <w:rPr>
        <w:rFonts w:ascii="Arial" w:hAnsi="Arial" w:cs="Arial"/>
        <w:b/>
        <w:color w:val="002060"/>
        <w:sz w:val="18"/>
        <w:szCs w:val="18"/>
      </w:rPr>
    </w:pPr>
    <w:r w:rsidRPr="009A41A6">
      <w:rPr>
        <w:rFonts w:ascii="Arial" w:hAnsi="Arial" w:cs="Arial"/>
        <w:b/>
        <w:color w:val="002060"/>
        <w:sz w:val="18"/>
        <w:szCs w:val="18"/>
      </w:rPr>
      <w:t>Web Address</w:t>
    </w:r>
    <w:r w:rsidRPr="00B0187A">
      <w:rPr>
        <w:rFonts w:ascii="Arial" w:hAnsi="Arial" w:cs="Arial"/>
        <w:b/>
        <w:color w:val="002060"/>
        <w:sz w:val="18"/>
        <w:szCs w:val="18"/>
      </w:rPr>
      <w:t xml:space="preserve">:  </w:t>
    </w:r>
    <w:hyperlink r:id="rId1" w:history="1">
      <w:r w:rsidRPr="00B0187A">
        <w:rPr>
          <w:rStyle w:val="Hyperlink"/>
          <w:rFonts w:ascii="Arial" w:hAnsi="Arial" w:cs="Arial"/>
          <w:b/>
          <w:color w:val="002060"/>
          <w:sz w:val="18"/>
          <w:szCs w:val="18"/>
          <w:u w:val="none"/>
        </w:rPr>
        <w:t>www.ewass.co.uk</w:t>
      </w:r>
    </w:hyperlink>
    <w:r>
      <w:rPr>
        <w:rFonts w:ascii="Arial" w:hAnsi="Arial" w:cs="Arial"/>
        <w:b/>
        <w:color w:val="002060"/>
        <w:sz w:val="18"/>
        <w:szCs w:val="18"/>
      </w:rPr>
      <w:t xml:space="preserve">  VAT Number: GB 208027144</w:t>
    </w:r>
  </w:p>
  <w:p w14:paraId="6E15E215" w14:textId="77777777" w:rsidR="009A41A6" w:rsidRPr="009A41A6" w:rsidRDefault="009A41A6" w:rsidP="009A41A6">
    <w:pPr>
      <w:spacing w:line="360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82075" w14:textId="77777777" w:rsidR="00AA4EA0" w:rsidRDefault="00AA4EA0" w:rsidP="003661C0">
      <w:r>
        <w:separator/>
      </w:r>
    </w:p>
  </w:footnote>
  <w:footnote w:type="continuationSeparator" w:id="0">
    <w:p w14:paraId="68B6B772" w14:textId="77777777" w:rsidR="00AA4EA0" w:rsidRDefault="00AA4EA0" w:rsidP="0036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4BB0" w14:textId="77777777" w:rsidR="003661C0" w:rsidRDefault="00B64FD0" w:rsidP="009A41A6">
    <w:pPr>
      <w:pStyle w:val="Header"/>
      <w:tabs>
        <w:tab w:val="clear" w:pos="4513"/>
        <w:tab w:val="clear" w:pos="9026"/>
      </w:tabs>
      <w:jc w:val="center"/>
    </w:pPr>
    <w:r w:rsidRPr="00B64FD0">
      <w:rPr>
        <w:noProof/>
        <w:lang w:eastAsia="en-GB"/>
      </w:rPr>
      <w:drawing>
        <wp:inline distT="0" distB="0" distL="0" distR="0" wp14:anchorId="6F4EB263" wp14:editId="391E6831">
          <wp:extent cx="1095375" cy="803536"/>
          <wp:effectExtent l="19050" t="0" r="9525" b="0"/>
          <wp:docPr id="4" name="Picture 7" descr="C:\Users\gary.jago\AppData\Local\Microsoft\Windows\Temporary Internet Files\Content.Word\secure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ary.jago\AppData\Local\Microsoft\Windows\Temporary Internet Files\Content.Word\securedownlo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960" cy="8046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448A63" w14:textId="77777777" w:rsidR="009A41A6" w:rsidRDefault="009A41A6" w:rsidP="009A41A6">
    <w:pPr>
      <w:pStyle w:val="Header"/>
      <w:tabs>
        <w:tab w:val="clear" w:pos="4513"/>
        <w:tab w:val="clear" w:pos="9026"/>
      </w:tabs>
      <w:jc w:val="center"/>
    </w:pPr>
  </w:p>
  <w:p w14:paraId="3C7DBD93" w14:textId="77777777" w:rsidR="009A41A6" w:rsidRPr="006E59E6" w:rsidRDefault="009A41A6" w:rsidP="006E59E6">
    <w:pPr>
      <w:jc w:val="center"/>
      <w:rPr>
        <w:rFonts w:ascii="Arial" w:hAnsi="Arial" w:cs="Arial"/>
        <w:b/>
        <w:color w:val="002060"/>
        <w:sz w:val="24"/>
        <w:szCs w:val="24"/>
      </w:rPr>
    </w:pPr>
    <w:r w:rsidRPr="009A41A6">
      <w:rPr>
        <w:rFonts w:ascii="Arial" w:hAnsi="Arial" w:cs="Arial"/>
        <w:b/>
        <w:color w:val="002060"/>
        <w:sz w:val="24"/>
        <w:szCs w:val="24"/>
      </w:rPr>
      <w:t>EDUCATION WELFARE ADVISORY &amp; SUPPORT SERVICE LTD</w:t>
    </w:r>
  </w:p>
  <w:p w14:paraId="3EDE806D" w14:textId="77777777" w:rsidR="003661C0" w:rsidRPr="003661C0" w:rsidRDefault="003661C0" w:rsidP="003661C0">
    <w:pPr>
      <w:jc w:val="center"/>
      <w:rPr>
        <w:rFonts w:ascii="Arial" w:hAnsi="Arial" w:cs="Arial"/>
        <w:b/>
        <w:sz w:val="6"/>
        <w:szCs w:val="6"/>
      </w:rPr>
    </w:pPr>
  </w:p>
  <w:p w14:paraId="78F1AF22" w14:textId="77777777" w:rsidR="003661C0" w:rsidRPr="003661C0" w:rsidRDefault="003661C0" w:rsidP="003661C0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60A"/>
    <w:multiLevelType w:val="hybridMultilevel"/>
    <w:tmpl w:val="DC0A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66A1"/>
    <w:multiLevelType w:val="hybridMultilevel"/>
    <w:tmpl w:val="87A4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848"/>
    <w:multiLevelType w:val="hybridMultilevel"/>
    <w:tmpl w:val="D088A6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633D"/>
    <w:multiLevelType w:val="hybridMultilevel"/>
    <w:tmpl w:val="BB7867CC"/>
    <w:lvl w:ilvl="0" w:tplc="5002BEA8">
      <w:start w:val="1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483B"/>
    <w:multiLevelType w:val="multilevel"/>
    <w:tmpl w:val="73B0C6CE"/>
    <w:lvl w:ilvl="0">
      <w:start w:val="2016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655F8A"/>
    <w:multiLevelType w:val="hybridMultilevel"/>
    <w:tmpl w:val="FE689B7A"/>
    <w:lvl w:ilvl="0" w:tplc="54CC901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656A"/>
    <w:multiLevelType w:val="hybridMultilevel"/>
    <w:tmpl w:val="DB2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1FB0"/>
    <w:multiLevelType w:val="hybridMultilevel"/>
    <w:tmpl w:val="C7A49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2753D"/>
    <w:multiLevelType w:val="hybridMultilevel"/>
    <w:tmpl w:val="C9125F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A84B7A"/>
    <w:multiLevelType w:val="hybridMultilevel"/>
    <w:tmpl w:val="7250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52BD"/>
    <w:multiLevelType w:val="hybridMultilevel"/>
    <w:tmpl w:val="D90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B7E5F"/>
    <w:multiLevelType w:val="hybridMultilevel"/>
    <w:tmpl w:val="A7502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D19DB"/>
    <w:multiLevelType w:val="hybridMultilevel"/>
    <w:tmpl w:val="3CFC1CC6"/>
    <w:lvl w:ilvl="0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3" w15:restartNumberingAfterBreak="0">
    <w:nsid w:val="1F006A61"/>
    <w:multiLevelType w:val="hybridMultilevel"/>
    <w:tmpl w:val="A9187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C6612"/>
    <w:multiLevelType w:val="hybridMultilevel"/>
    <w:tmpl w:val="1BB6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7E72"/>
    <w:multiLevelType w:val="multilevel"/>
    <w:tmpl w:val="5D0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B59FE"/>
    <w:multiLevelType w:val="hybridMultilevel"/>
    <w:tmpl w:val="8110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85053"/>
    <w:multiLevelType w:val="hybridMultilevel"/>
    <w:tmpl w:val="A7BA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60555"/>
    <w:multiLevelType w:val="hybridMultilevel"/>
    <w:tmpl w:val="7D6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C7396"/>
    <w:multiLevelType w:val="hybridMultilevel"/>
    <w:tmpl w:val="498E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A690B"/>
    <w:multiLevelType w:val="hybridMultilevel"/>
    <w:tmpl w:val="7C100C9A"/>
    <w:lvl w:ilvl="0" w:tplc="35E4E9E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482A"/>
    <w:multiLevelType w:val="hybridMultilevel"/>
    <w:tmpl w:val="A3BC05E8"/>
    <w:lvl w:ilvl="0" w:tplc="AD46F19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720A0"/>
    <w:multiLevelType w:val="hybridMultilevel"/>
    <w:tmpl w:val="C7B2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459E3"/>
    <w:multiLevelType w:val="hybridMultilevel"/>
    <w:tmpl w:val="791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B2612"/>
    <w:multiLevelType w:val="hybridMultilevel"/>
    <w:tmpl w:val="140E9C78"/>
    <w:lvl w:ilvl="0" w:tplc="7C7E8A2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F7DDE"/>
    <w:multiLevelType w:val="hybridMultilevel"/>
    <w:tmpl w:val="F71E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46E4E"/>
    <w:multiLevelType w:val="hybridMultilevel"/>
    <w:tmpl w:val="124E7632"/>
    <w:lvl w:ilvl="0" w:tplc="D1F67CE0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52F57"/>
    <w:multiLevelType w:val="hybridMultilevel"/>
    <w:tmpl w:val="B3E6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D5133"/>
    <w:multiLevelType w:val="hybridMultilevel"/>
    <w:tmpl w:val="DCF2DDF6"/>
    <w:lvl w:ilvl="0" w:tplc="5BC4E8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1B13"/>
    <w:multiLevelType w:val="hybridMultilevel"/>
    <w:tmpl w:val="A51A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C2175"/>
    <w:multiLevelType w:val="hybridMultilevel"/>
    <w:tmpl w:val="70DC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A434E"/>
    <w:multiLevelType w:val="hybridMultilevel"/>
    <w:tmpl w:val="AB6CD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F03CA1"/>
    <w:multiLevelType w:val="hybridMultilevel"/>
    <w:tmpl w:val="7F8A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090A"/>
    <w:multiLevelType w:val="hybridMultilevel"/>
    <w:tmpl w:val="38A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F249A"/>
    <w:multiLevelType w:val="hybridMultilevel"/>
    <w:tmpl w:val="CF7A0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7B3"/>
    <w:multiLevelType w:val="hybridMultilevel"/>
    <w:tmpl w:val="3CF0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267BD"/>
    <w:multiLevelType w:val="hybridMultilevel"/>
    <w:tmpl w:val="FFE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13AEE"/>
    <w:multiLevelType w:val="hybridMultilevel"/>
    <w:tmpl w:val="124C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23A1D"/>
    <w:multiLevelType w:val="hybridMultilevel"/>
    <w:tmpl w:val="3E62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1760D"/>
    <w:multiLevelType w:val="hybridMultilevel"/>
    <w:tmpl w:val="55482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7180"/>
    <w:multiLevelType w:val="hybridMultilevel"/>
    <w:tmpl w:val="3492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C49AB"/>
    <w:multiLevelType w:val="hybridMultilevel"/>
    <w:tmpl w:val="E99E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41"/>
  </w:num>
  <w:num w:numId="4">
    <w:abstractNumId w:val="1"/>
  </w:num>
  <w:num w:numId="5">
    <w:abstractNumId w:val="30"/>
  </w:num>
  <w:num w:numId="6">
    <w:abstractNumId w:val="23"/>
  </w:num>
  <w:num w:numId="7">
    <w:abstractNumId w:val="0"/>
  </w:num>
  <w:num w:numId="8">
    <w:abstractNumId w:val="15"/>
  </w:num>
  <w:num w:numId="9">
    <w:abstractNumId w:val="17"/>
  </w:num>
  <w:num w:numId="10">
    <w:abstractNumId w:val="22"/>
  </w:num>
  <w:num w:numId="11">
    <w:abstractNumId w:val="18"/>
  </w:num>
  <w:num w:numId="12">
    <w:abstractNumId w:val="19"/>
  </w:num>
  <w:num w:numId="13">
    <w:abstractNumId w:val="39"/>
  </w:num>
  <w:num w:numId="14">
    <w:abstractNumId w:val="4"/>
  </w:num>
  <w:num w:numId="15">
    <w:abstractNumId w:val="12"/>
  </w:num>
  <w:num w:numId="16">
    <w:abstractNumId w:val="14"/>
  </w:num>
  <w:num w:numId="17">
    <w:abstractNumId w:val="38"/>
  </w:num>
  <w:num w:numId="18">
    <w:abstractNumId w:val="29"/>
  </w:num>
  <w:num w:numId="19">
    <w:abstractNumId w:val="40"/>
  </w:num>
  <w:num w:numId="20">
    <w:abstractNumId w:val="20"/>
  </w:num>
  <w:num w:numId="21">
    <w:abstractNumId w:val="26"/>
  </w:num>
  <w:num w:numId="22">
    <w:abstractNumId w:val="5"/>
  </w:num>
  <w:num w:numId="23">
    <w:abstractNumId w:val="3"/>
  </w:num>
  <w:num w:numId="24">
    <w:abstractNumId w:val="24"/>
  </w:num>
  <w:num w:numId="25">
    <w:abstractNumId w:val="21"/>
  </w:num>
  <w:num w:numId="26">
    <w:abstractNumId w:val="28"/>
  </w:num>
  <w:num w:numId="27">
    <w:abstractNumId w:val="36"/>
  </w:num>
  <w:num w:numId="28">
    <w:abstractNumId w:val="31"/>
  </w:num>
  <w:num w:numId="29">
    <w:abstractNumId w:val="8"/>
  </w:num>
  <w:num w:numId="30">
    <w:abstractNumId w:val="37"/>
  </w:num>
  <w:num w:numId="31">
    <w:abstractNumId w:val="16"/>
  </w:num>
  <w:num w:numId="32">
    <w:abstractNumId w:val="11"/>
  </w:num>
  <w:num w:numId="33">
    <w:abstractNumId w:val="33"/>
  </w:num>
  <w:num w:numId="34">
    <w:abstractNumId w:val="32"/>
  </w:num>
  <w:num w:numId="35">
    <w:abstractNumId w:val="25"/>
  </w:num>
  <w:num w:numId="36">
    <w:abstractNumId w:val="27"/>
  </w:num>
  <w:num w:numId="37">
    <w:abstractNumId w:val="13"/>
  </w:num>
  <w:num w:numId="38">
    <w:abstractNumId w:val="34"/>
  </w:num>
  <w:num w:numId="39">
    <w:abstractNumId w:val="9"/>
  </w:num>
  <w:num w:numId="40">
    <w:abstractNumId w:val="6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C0"/>
    <w:rsid w:val="00001489"/>
    <w:rsid w:val="00002894"/>
    <w:rsid w:val="00014690"/>
    <w:rsid w:val="00015E32"/>
    <w:rsid w:val="00026154"/>
    <w:rsid w:val="00033907"/>
    <w:rsid w:val="00044BCD"/>
    <w:rsid w:val="0004696B"/>
    <w:rsid w:val="000950FE"/>
    <w:rsid w:val="000A17E9"/>
    <w:rsid w:val="000A6D60"/>
    <w:rsid w:val="000C1C5B"/>
    <w:rsid w:val="000C43FE"/>
    <w:rsid w:val="000D4F04"/>
    <w:rsid w:val="000D74C5"/>
    <w:rsid w:val="0010201A"/>
    <w:rsid w:val="001172E8"/>
    <w:rsid w:val="00122210"/>
    <w:rsid w:val="001541FA"/>
    <w:rsid w:val="00171B5D"/>
    <w:rsid w:val="001B43DD"/>
    <w:rsid w:val="001E37B6"/>
    <w:rsid w:val="001E50FE"/>
    <w:rsid w:val="001F59AE"/>
    <w:rsid w:val="002061CF"/>
    <w:rsid w:val="00214B9A"/>
    <w:rsid w:val="00223B44"/>
    <w:rsid w:val="002260AF"/>
    <w:rsid w:val="002302CB"/>
    <w:rsid w:val="00240A98"/>
    <w:rsid w:val="00242AC1"/>
    <w:rsid w:val="00256B1D"/>
    <w:rsid w:val="00287CB6"/>
    <w:rsid w:val="002A0EC0"/>
    <w:rsid w:val="002B6D5C"/>
    <w:rsid w:val="002C21A5"/>
    <w:rsid w:val="002C3C07"/>
    <w:rsid w:val="002C44BF"/>
    <w:rsid w:val="002C7516"/>
    <w:rsid w:val="002C7A58"/>
    <w:rsid w:val="002D11B7"/>
    <w:rsid w:val="002D530F"/>
    <w:rsid w:val="00306A15"/>
    <w:rsid w:val="003169DC"/>
    <w:rsid w:val="00316BAF"/>
    <w:rsid w:val="0031719F"/>
    <w:rsid w:val="00317853"/>
    <w:rsid w:val="00330F46"/>
    <w:rsid w:val="0033604A"/>
    <w:rsid w:val="00363F07"/>
    <w:rsid w:val="003661C0"/>
    <w:rsid w:val="00372F9B"/>
    <w:rsid w:val="00384AD1"/>
    <w:rsid w:val="00390C02"/>
    <w:rsid w:val="003A035A"/>
    <w:rsid w:val="003A6178"/>
    <w:rsid w:val="003A66C8"/>
    <w:rsid w:val="003B3814"/>
    <w:rsid w:val="003B42EE"/>
    <w:rsid w:val="003B5C50"/>
    <w:rsid w:val="003B602B"/>
    <w:rsid w:val="003E0802"/>
    <w:rsid w:val="003E7945"/>
    <w:rsid w:val="0040672C"/>
    <w:rsid w:val="0043221B"/>
    <w:rsid w:val="00434F13"/>
    <w:rsid w:val="00446114"/>
    <w:rsid w:val="004521A6"/>
    <w:rsid w:val="00480D95"/>
    <w:rsid w:val="004912A9"/>
    <w:rsid w:val="00493DA5"/>
    <w:rsid w:val="004A539D"/>
    <w:rsid w:val="004B167D"/>
    <w:rsid w:val="004D27F0"/>
    <w:rsid w:val="004D44B4"/>
    <w:rsid w:val="004E06D6"/>
    <w:rsid w:val="004E0CC1"/>
    <w:rsid w:val="004E1908"/>
    <w:rsid w:val="004E5E13"/>
    <w:rsid w:val="004F39A6"/>
    <w:rsid w:val="004F59C5"/>
    <w:rsid w:val="004F7645"/>
    <w:rsid w:val="00510552"/>
    <w:rsid w:val="00514C74"/>
    <w:rsid w:val="00520429"/>
    <w:rsid w:val="00520DFC"/>
    <w:rsid w:val="00522EB7"/>
    <w:rsid w:val="00524C08"/>
    <w:rsid w:val="00532017"/>
    <w:rsid w:val="00537C03"/>
    <w:rsid w:val="00550798"/>
    <w:rsid w:val="00567DA8"/>
    <w:rsid w:val="00570C70"/>
    <w:rsid w:val="00580468"/>
    <w:rsid w:val="00580507"/>
    <w:rsid w:val="005833A1"/>
    <w:rsid w:val="005850B8"/>
    <w:rsid w:val="005A40C1"/>
    <w:rsid w:val="005B3236"/>
    <w:rsid w:val="005C2840"/>
    <w:rsid w:val="005C5BF3"/>
    <w:rsid w:val="005D0B91"/>
    <w:rsid w:val="005E3C41"/>
    <w:rsid w:val="00602984"/>
    <w:rsid w:val="00614DCC"/>
    <w:rsid w:val="0063552F"/>
    <w:rsid w:val="006409E1"/>
    <w:rsid w:val="00645941"/>
    <w:rsid w:val="006622E0"/>
    <w:rsid w:val="006A526E"/>
    <w:rsid w:val="006A7135"/>
    <w:rsid w:val="006C5D37"/>
    <w:rsid w:val="006E59E6"/>
    <w:rsid w:val="006E5D53"/>
    <w:rsid w:val="007106D9"/>
    <w:rsid w:val="007109CC"/>
    <w:rsid w:val="00723149"/>
    <w:rsid w:val="00745621"/>
    <w:rsid w:val="00750284"/>
    <w:rsid w:val="00754ECE"/>
    <w:rsid w:val="00762C83"/>
    <w:rsid w:val="00765785"/>
    <w:rsid w:val="00780C62"/>
    <w:rsid w:val="007826E3"/>
    <w:rsid w:val="00785E76"/>
    <w:rsid w:val="007955EF"/>
    <w:rsid w:val="007B055D"/>
    <w:rsid w:val="007B64EE"/>
    <w:rsid w:val="007B6CB3"/>
    <w:rsid w:val="007B78D4"/>
    <w:rsid w:val="007C7417"/>
    <w:rsid w:val="007D0822"/>
    <w:rsid w:val="007D10E6"/>
    <w:rsid w:val="007E3E10"/>
    <w:rsid w:val="007E417B"/>
    <w:rsid w:val="00801884"/>
    <w:rsid w:val="008069E0"/>
    <w:rsid w:val="00806EB6"/>
    <w:rsid w:val="00807881"/>
    <w:rsid w:val="00826AE0"/>
    <w:rsid w:val="00862D2E"/>
    <w:rsid w:val="00890837"/>
    <w:rsid w:val="008965B9"/>
    <w:rsid w:val="00896B5B"/>
    <w:rsid w:val="008B4BCA"/>
    <w:rsid w:val="008C1182"/>
    <w:rsid w:val="008D2ECD"/>
    <w:rsid w:val="008D71B3"/>
    <w:rsid w:val="008F6869"/>
    <w:rsid w:val="009009D7"/>
    <w:rsid w:val="00934745"/>
    <w:rsid w:val="009445DB"/>
    <w:rsid w:val="00947057"/>
    <w:rsid w:val="00951584"/>
    <w:rsid w:val="00953FFE"/>
    <w:rsid w:val="009602EA"/>
    <w:rsid w:val="00964527"/>
    <w:rsid w:val="0097440F"/>
    <w:rsid w:val="0099644C"/>
    <w:rsid w:val="009A41A6"/>
    <w:rsid w:val="009D4220"/>
    <w:rsid w:val="009E2FD7"/>
    <w:rsid w:val="009F1965"/>
    <w:rsid w:val="00A01853"/>
    <w:rsid w:val="00A03C77"/>
    <w:rsid w:val="00A14EF9"/>
    <w:rsid w:val="00A2799D"/>
    <w:rsid w:val="00A424DD"/>
    <w:rsid w:val="00A46D46"/>
    <w:rsid w:val="00A630A5"/>
    <w:rsid w:val="00A92C1C"/>
    <w:rsid w:val="00AA4EA0"/>
    <w:rsid w:val="00AA7F07"/>
    <w:rsid w:val="00AC055E"/>
    <w:rsid w:val="00AC2625"/>
    <w:rsid w:val="00AD5C12"/>
    <w:rsid w:val="00AD73BF"/>
    <w:rsid w:val="00AF22DD"/>
    <w:rsid w:val="00AF2E3A"/>
    <w:rsid w:val="00AF54C8"/>
    <w:rsid w:val="00AF6E3D"/>
    <w:rsid w:val="00B03E59"/>
    <w:rsid w:val="00B13346"/>
    <w:rsid w:val="00B172B9"/>
    <w:rsid w:val="00B200B0"/>
    <w:rsid w:val="00B30DF8"/>
    <w:rsid w:val="00B32D5B"/>
    <w:rsid w:val="00B350E3"/>
    <w:rsid w:val="00B41F9F"/>
    <w:rsid w:val="00B610A4"/>
    <w:rsid w:val="00B64FD0"/>
    <w:rsid w:val="00B764C9"/>
    <w:rsid w:val="00B91B77"/>
    <w:rsid w:val="00BD17E3"/>
    <w:rsid w:val="00BD2F98"/>
    <w:rsid w:val="00BE6109"/>
    <w:rsid w:val="00BF02BC"/>
    <w:rsid w:val="00C0123D"/>
    <w:rsid w:val="00C1438E"/>
    <w:rsid w:val="00C25049"/>
    <w:rsid w:val="00C3759D"/>
    <w:rsid w:val="00C47A0B"/>
    <w:rsid w:val="00C51615"/>
    <w:rsid w:val="00C63773"/>
    <w:rsid w:val="00C65A28"/>
    <w:rsid w:val="00C67C6D"/>
    <w:rsid w:val="00C91293"/>
    <w:rsid w:val="00C94CE8"/>
    <w:rsid w:val="00CA01DE"/>
    <w:rsid w:val="00CA4515"/>
    <w:rsid w:val="00CB4625"/>
    <w:rsid w:val="00CC79C8"/>
    <w:rsid w:val="00CD19E6"/>
    <w:rsid w:val="00CE0FD7"/>
    <w:rsid w:val="00CE54ED"/>
    <w:rsid w:val="00CF38F0"/>
    <w:rsid w:val="00D2588B"/>
    <w:rsid w:val="00D42EE6"/>
    <w:rsid w:val="00D82DFA"/>
    <w:rsid w:val="00D963B9"/>
    <w:rsid w:val="00DA16CA"/>
    <w:rsid w:val="00DC2612"/>
    <w:rsid w:val="00DE7704"/>
    <w:rsid w:val="00DF1985"/>
    <w:rsid w:val="00DF6A82"/>
    <w:rsid w:val="00E00652"/>
    <w:rsid w:val="00E12B5E"/>
    <w:rsid w:val="00E202DF"/>
    <w:rsid w:val="00E36285"/>
    <w:rsid w:val="00E47523"/>
    <w:rsid w:val="00E47A0A"/>
    <w:rsid w:val="00E549B4"/>
    <w:rsid w:val="00E61C24"/>
    <w:rsid w:val="00E65C66"/>
    <w:rsid w:val="00E8023D"/>
    <w:rsid w:val="00E82482"/>
    <w:rsid w:val="00EB4505"/>
    <w:rsid w:val="00EB5AB9"/>
    <w:rsid w:val="00ED120C"/>
    <w:rsid w:val="00EE0770"/>
    <w:rsid w:val="00F02B82"/>
    <w:rsid w:val="00F11404"/>
    <w:rsid w:val="00F140DA"/>
    <w:rsid w:val="00F15196"/>
    <w:rsid w:val="00F16586"/>
    <w:rsid w:val="00F17BA5"/>
    <w:rsid w:val="00F325D2"/>
    <w:rsid w:val="00F34BB6"/>
    <w:rsid w:val="00F67B0C"/>
    <w:rsid w:val="00F82549"/>
    <w:rsid w:val="00F85AD0"/>
    <w:rsid w:val="00F97254"/>
    <w:rsid w:val="00FE632A"/>
    <w:rsid w:val="00FF069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707E"/>
  <w15:docId w15:val="{3FA4C05F-C665-4E69-8C6C-26E9C3BE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1C0"/>
  </w:style>
  <w:style w:type="paragraph" w:styleId="Footer">
    <w:name w:val="footer"/>
    <w:basedOn w:val="Normal"/>
    <w:link w:val="FooterChar"/>
    <w:uiPriority w:val="99"/>
    <w:unhideWhenUsed/>
    <w:rsid w:val="00366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1C0"/>
  </w:style>
  <w:style w:type="paragraph" w:styleId="BalloonText">
    <w:name w:val="Balloon Text"/>
    <w:basedOn w:val="Normal"/>
    <w:link w:val="BalloonTextChar"/>
    <w:uiPriority w:val="99"/>
    <w:semiHidden/>
    <w:unhideWhenUsed/>
    <w:rsid w:val="00366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3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E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3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hyperlink-paragraph">
    <w:name w:val="hyperlink-paragraph"/>
    <w:basedOn w:val="Normal"/>
    <w:rsid w:val="00AD73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nk-title">
    <w:name w:val="link-title"/>
    <w:basedOn w:val="DefaultParagraphFont"/>
    <w:rsid w:val="00AD73BF"/>
  </w:style>
  <w:style w:type="character" w:customStyle="1" w:styleId="link-property">
    <w:name w:val="link-property"/>
    <w:basedOn w:val="DefaultParagraphFont"/>
    <w:rsid w:val="00AD73BF"/>
  </w:style>
  <w:style w:type="character" w:customStyle="1" w:styleId="UnresolvedMention1">
    <w:name w:val="Unresolved Mention1"/>
    <w:basedOn w:val="DefaultParagraphFont"/>
    <w:uiPriority w:val="99"/>
    <w:rsid w:val="002C75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8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0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8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wa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09396B-80CB-4198-9CB8-99E2ECE1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gary.jago</dc:creator>
  <cp:keywords>Letters</cp:keywords>
  <dc:description/>
  <cp:lastModifiedBy>Bal Matharu</cp:lastModifiedBy>
  <cp:revision>2</cp:revision>
  <cp:lastPrinted>2021-12-15T12:23:00Z</cp:lastPrinted>
  <dcterms:created xsi:type="dcterms:W3CDTF">2023-05-16T12:24:00Z</dcterms:created>
  <dcterms:modified xsi:type="dcterms:W3CDTF">2023-05-16T12:24:00Z</dcterms:modified>
</cp:coreProperties>
</file>