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hd w:val="clear" w:color="auto" w:fill="FFFFFF"/>
        <w:spacing w:after="160"/>
        <w:rPr>
          <w:rFonts w:ascii="Century Gothic" w:eastAsia="Century Gothic" w:hAnsi="Century Gothic" w:cs="Century Gothic"/>
          <w:sz w:val="20"/>
          <w:szCs w:val="20"/>
        </w:rPr>
      </w:pPr>
      <w:r>
        <w:rPr>
          <w:rFonts w:ascii="Century Gothic" w:eastAsia="Century Gothic" w:hAnsi="Century Gothic" w:cs="Century Gothic"/>
          <w:noProof/>
          <w:sz w:val="24"/>
          <w:szCs w:val="24"/>
        </w:rPr>
        <w:drawing>
          <wp:inline distT="0" distB="0" distL="0" distR="0">
            <wp:extent cx="1628775" cy="1435404"/>
            <wp:effectExtent l="0" t="0" r="0" b="0"/>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1628775" cy="1435404"/>
                    </a:xfrm>
                    <a:prstGeom prst="rect">
                      <a:avLst/>
                    </a:prstGeom>
                    <a:ln/>
                  </pic:spPr>
                </pic:pic>
              </a:graphicData>
            </a:graphic>
          </wp:inline>
        </w:drawing>
      </w:r>
    </w:p>
    <w:p>
      <w:pPr>
        <w:shd w:val="clear" w:color="auto" w:fill="FFFFFF"/>
        <w:spacing w:after="160"/>
        <w:jc w:val="center"/>
        <w:rPr>
          <w:rFonts w:ascii="Century Gothic" w:eastAsia="Century Gothic" w:hAnsi="Century Gothic" w:cs="Century Gothic"/>
          <w:sz w:val="20"/>
          <w:szCs w:val="20"/>
        </w:rPr>
      </w:pPr>
    </w:p>
    <w:p>
      <w:pPr>
        <w:shd w:val="clear" w:color="auto" w:fill="FFFFFF"/>
        <w:spacing w:before="240" w:after="240"/>
        <w:jc w:val="center"/>
        <w:rPr>
          <w:rFonts w:asciiTheme="majorHAnsi" w:eastAsia="Calibri" w:hAnsiTheme="majorHAnsi" w:cstheme="majorHAnsi"/>
          <w:b/>
          <w:color w:val="222222"/>
          <w:sz w:val="26"/>
          <w:szCs w:val="26"/>
        </w:rPr>
      </w:pPr>
      <w:r>
        <w:rPr>
          <w:rFonts w:asciiTheme="majorHAnsi" w:eastAsia="Calibri" w:hAnsiTheme="majorHAnsi" w:cstheme="majorHAnsi"/>
          <w:noProof/>
          <w:color w:val="222222"/>
          <w:sz w:val="26"/>
          <w:szCs w:val="26"/>
        </w:rPr>
        <w:drawing>
          <wp:inline distT="114300" distB="114300" distL="114300" distR="114300">
            <wp:extent cx="4143375" cy="542925"/>
            <wp:effectExtent l="0" t="0" r="9525" b="9525"/>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339491" cy="568623"/>
                    </a:xfrm>
                    <a:prstGeom prst="rect">
                      <a:avLst/>
                    </a:prstGeom>
                    <a:ln/>
                  </pic:spPr>
                </pic:pic>
              </a:graphicData>
            </a:graphic>
          </wp:inline>
        </w:drawing>
      </w:r>
    </w:p>
    <w:p>
      <w:pPr>
        <w:jc w:val="center"/>
      </w:pPr>
    </w:p>
    <w:p>
      <w:pPr>
        <w:jc w:val="center"/>
      </w:pPr>
      <w:bookmarkStart w:id="0" w:name="_Hlk105480691"/>
    </w:p>
    <w:p>
      <w:pPr>
        <w:jc w:val="center"/>
        <w:rPr>
          <w:rFonts w:ascii="Calibri" w:eastAsia="Calibri" w:hAnsi="Calibri" w:cs="Calibri"/>
          <w:b/>
          <w:sz w:val="56"/>
          <w:szCs w:val="56"/>
        </w:rPr>
      </w:pPr>
      <w:r>
        <w:rPr>
          <w:rFonts w:ascii="Calibri" w:eastAsia="Calibri" w:hAnsi="Calibri" w:cs="Calibri"/>
          <w:b/>
          <w:sz w:val="56"/>
          <w:szCs w:val="56"/>
        </w:rPr>
        <w:t>Recruitment Pack</w:t>
      </w:r>
    </w:p>
    <w:p>
      <w:pPr>
        <w:jc w:val="center"/>
        <w:rPr>
          <w:rFonts w:ascii="Calibri" w:eastAsia="Calibri" w:hAnsi="Calibri" w:cs="Calibri"/>
          <w:sz w:val="46"/>
          <w:szCs w:val="46"/>
        </w:rPr>
      </w:pPr>
    </w:p>
    <w:p>
      <w:pPr>
        <w:jc w:val="center"/>
        <w:rPr>
          <w:rFonts w:ascii="Calibri" w:eastAsia="Calibri" w:hAnsi="Calibri" w:cs="Calibri"/>
          <w:sz w:val="46"/>
          <w:szCs w:val="46"/>
        </w:rPr>
      </w:pPr>
    </w:p>
    <w:tbl>
      <w:tblPr>
        <w:tblStyle w:val="a"/>
        <w:tblpPr w:leftFromText="180" w:rightFromText="180" w:vertAnchor="text" w:horzAnchor="margin" w:tblpY="361"/>
        <w:tblW w:w="9360"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Layout w:type="fixed"/>
        <w:tblLook w:val="0600" w:firstRow="0" w:lastRow="0" w:firstColumn="0" w:lastColumn="0" w:noHBand="1" w:noVBand="1"/>
      </w:tblPr>
      <w:tblGrid>
        <w:gridCol w:w="9360"/>
      </w:tblGrid>
      <w:tr>
        <w:tc>
          <w:tcPr>
            <w:tcW w:w="9360" w:type="dxa"/>
            <w:shd w:val="clear" w:color="auto" w:fill="auto"/>
            <w:tcMar>
              <w:top w:w="100" w:type="dxa"/>
              <w:left w:w="100" w:type="dxa"/>
              <w:bottom w:w="100" w:type="dxa"/>
              <w:right w:w="100" w:type="dxa"/>
            </w:tcMar>
          </w:tcPr>
          <w:p>
            <w:pPr>
              <w:shd w:val="clear" w:color="auto" w:fill="FFFFFF"/>
              <w:jc w:val="center"/>
              <w:rPr>
                <w:rFonts w:asciiTheme="majorHAnsi" w:eastAsia="Calibri" w:hAnsiTheme="majorHAnsi" w:cstheme="majorHAnsi"/>
                <w:b/>
                <w:color w:val="222222"/>
                <w:sz w:val="56"/>
                <w:szCs w:val="56"/>
              </w:rPr>
            </w:pPr>
          </w:p>
          <w:p>
            <w:pPr>
              <w:shd w:val="clear" w:color="auto" w:fill="FFFFFF"/>
              <w:jc w:val="center"/>
              <w:rPr>
                <w:rFonts w:asciiTheme="majorHAnsi" w:eastAsia="Calibri" w:hAnsiTheme="majorHAnsi" w:cstheme="majorHAnsi"/>
                <w:b/>
                <w:color w:val="222222"/>
                <w:sz w:val="56"/>
                <w:szCs w:val="56"/>
              </w:rPr>
            </w:pPr>
            <w:r>
              <w:rPr>
                <w:rFonts w:asciiTheme="majorHAnsi" w:eastAsia="Calibri" w:hAnsiTheme="majorHAnsi" w:cstheme="majorHAnsi"/>
                <w:b/>
                <w:color w:val="222222"/>
                <w:sz w:val="56"/>
                <w:szCs w:val="56"/>
              </w:rPr>
              <w:t>Higher Level Teaching Assistant</w:t>
            </w:r>
          </w:p>
          <w:p>
            <w:pPr>
              <w:shd w:val="clear" w:color="auto" w:fill="FFFFFF"/>
              <w:jc w:val="center"/>
              <w:rPr>
                <w:rFonts w:asciiTheme="majorHAnsi" w:eastAsia="Calibri" w:hAnsiTheme="majorHAnsi" w:cstheme="majorHAnsi"/>
                <w:b/>
                <w:color w:val="222222"/>
                <w:sz w:val="26"/>
                <w:szCs w:val="26"/>
              </w:rPr>
            </w:pPr>
          </w:p>
          <w:p>
            <w:pPr>
              <w:shd w:val="clear" w:color="auto" w:fill="FFFFFF"/>
              <w:jc w:val="center"/>
              <w:rPr>
                <w:rFonts w:asciiTheme="minorHAnsi" w:eastAsia="Calibri" w:hAnsiTheme="minorHAnsi" w:cstheme="majorHAnsi"/>
                <w:b/>
                <w:color w:val="222222"/>
                <w:sz w:val="24"/>
                <w:szCs w:val="24"/>
              </w:rPr>
            </w:pPr>
            <w:r>
              <w:rPr>
                <w:rFonts w:asciiTheme="minorHAnsi" w:eastAsia="Calibri" w:hAnsiTheme="minorHAnsi" w:cstheme="majorHAnsi"/>
                <w:b/>
                <w:color w:val="222222"/>
                <w:sz w:val="24"/>
                <w:szCs w:val="24"/>
              </w:rPr>
              <w:t xml:space="preserve">Fixed term contract 1 year </w:t>
            </w:r>
          </w:p>
          <w:p>
            <w:pPr>
              <w:shd w:val="clear" w:color="auto" w:fill="FFFFFF"/>
              <w:jc w:val="center"/>
              <w:rPr>
                <w:rFonts w:asciiTheme="minorHAnsi" w:eastAsia="Calibri" w:hAnsiTheme="minorHAnsi" w:cstheme="majorHAnsi"/>
                <w:b/>
                <w:color w:val="222222"/>
                <w:sz w:val="24"/>
                <w:szCs w:val="24"/>
              </w:rPr>
            </w:pPr>
            <w:r>
              <w:rPr>
                <w:rFonts w:asciiTheme="minorHAnsi" w:eastAsia="Calibri" w:hAnsiTheme="minorHAnsi" w:cstheme="majorHAnsi"/>
                <w:b/>
                <w:color w:val="222222"/>
                <w:sz w:val="24"/>
                <w:szCs w:val="24"/>
              </w:rPr>
              <w:t xml:space="preserve">Scale 6 </w:t>
            </w:r>
          </w:p>
          <w:p>
            <w:pPr>
              <w:shd w:val="clear" w:color="auto" w:fill="FFFFFF"/>
              <w:jc w:val="center"/>
              <w:rPr>
                <w:rFonts w:asciiTheme="minorHAnsi" w:eastAsia="Calibri" w:hAnsiTheme="minorHAnsi" w:cstheme="majorHAnsi"/>
                <w:b/>
                <w:color w:val="222222"/>
                <w:sz w:val="24"/>
                <w:szCs w:val="24"/>
              </w:rPr>
            </w:pPr>
            <w:r>
              <w:rPr>
                <w:rFonts w:asciiTheme="minorHAnsi" w:eastAsia="Calibri" w:hAnsiTheme="minorHAnsi" w:cstheme="majorHAnsi"/>
                <w:b/>
                <w:color w:val="222222"/>
                <w:sz w:val="24"/>
                <w:szCs w:val="24"/>
              </w:rPr>
              <w:t>Point: 18-</w:t>
            </w:r>
            <w:proofErr w:type="gramStart"/>
            <w:r>
              <w:rPr>
                <w:rFonts w:asciiTheme="minorHAnsi" w:eastAsia="Calibri" w:hAnsiTheme="minorHAnsi" w:cstheme="majorHAnsi"/>
                <w:b/>
                <w:color w:val="222222"/>
                <w:sz w:val="24"/>
                <w:szCs w:val="24"/>
              </w:rPr>
              <w:t xml:space="preserve">20  </w:t>
            </w:r>
            <w:r>
              <w:rPr>
                <w:rFonts w:asciiTheme="minorHAnsi" w:hAnsiTheme="minorHAnsi" w:cstheme="minorHAnsi"/>
                <w:b/>
                <w:bCs/>
                <w:sz w:val="24"/>
                <w:szCs w:val="24"/>
              </w:rPr>
              <w:t>(</w:t>
            </w:r>
            <w:proofErr w:type="gramEnd"/>
            <w:r>
              <w:rPr>
                <w:rFonts w:asciiTheme="minorHAnsi" w:hAnsiTheme="minorHAnsi" w:cstheme="minorHAnsi"/>
                <w:b/>
                <w:bCs/>
                <w:sz w:val="24"/>
                <w:szCs w:val="24"/>
              </w:rPr>
              <w:t>£30,699-£31,731) (Pro rata £22,103- £22,846)</w:t>
            </w:r>
            <w:r>
              <w:rPr>
                <w:rFonts w:asciiTheme="minorHAnsi" w:eastAsia="Calibri" w:hAnsiTheme="minorHAnsi" w:cstheme="majorHAnsi"/>
                <w:b/>
                <w:color w:val="222222"/>
                <w:sz w:val="24"/>
                <w:szCs w:val="24"/>
              </w:rPr>
              <w:t xml:space="preserve"> </w:t>
            </w:r>
          </w:p>
          <w:p>
            <w:pPr>
              <w:shd w:val="clear" w:color="auto" w:fill="FFFFFF"/>
              <w:jc w:val="center"/>
              <w:rPr>
                <w:rFonts w:asciiTheme="minorHAnsi" w:eastAsia="Calibri" w:hAnsiTheme="minorHAnsi" w:cstheme="majorHAnsi"/>
                <w:b/>
                <w:color w:val="222222"/>
                <w:sz w:val="24"/>
                <w:szCs w:val="24"/>
              </w:rPr>
            </w:pPr>
            <w:r>
              <w:rPr>
                <w:rFonts w:asciiTheme="minorHAnsi" w:eastAsia="Calibri" w:hAnsiTheme="minorHAnsi" w:cstheme="majorHAnsi"/>
                <w:b/>
                <w:color w:val="222222"/>
                <w:sz w:val="24"/>
                <w:szCs w:val="24"/>
              </w:rPr>
              <w:t>(</w:t>
            </w:r>
            <w:proofErr w:type="gramStart"/>
            <w:r>
              <w:rPr>
                <w:rFonts w:asciiTheme="minorHAnsi" w:eastAsia="Calibri" w:hAnsiTheme="minorHAnsi" w:cstheme="majorHAnsi"/>
                <w:b/>
                <w:color w:val="222222"/>
                <w:sz w:val="24"/>
                <w:szCs w:val="24"/>
              </w:rPr>
              <w:t>45.05 week</w:t>
            </w:r>
            <w:proofErr w:type="gramEnd"/>
            <w:r>
              <w:rPr>
                <w:rFonts w:asciiTheme="minorHAnsi" w:eastAsia="Calibri" w:hAnsiTheme="minorHAnsi" w:cstheme="majorHAnsi"/>
                <w:b/>
                <w:color w:val="222222"/>
                <w:sz w:val="24"/>
                <w:szCs w:val="24"/>
              </w:rPr>
              <w:t xml:space="preserve"> term time only including 5 INSET DAYS contract </w:t>
            </w:r>
          </w:p>
          <w:p>
            <w:pPr>
              <w:shd w:val="clear" w:color="auto" w:fill="FFFFFF"/>
              <w:jc w:val="center"/>
              <w:rPr>
                <w:rFonts w:asciiTheme="minorHAnsi" w:eastAsia="Calibri" w:hAnsiTheme="minorHAnsi" w:cstheme="majorHAnsi"/>
                <w:b/>
                <w:color w:val="222222"/>
                <w:sz w:val="24"/>
                <w:szCs w:val="24"/>
              </w:rPr>
            </w:pPr>
            <w:r>
              <w:rPr>
                <w:rFonts w:asciiTheme="minorHAnsi" w:eastAsia="Calibri" w:hAnsiTheme="minorHAnsi" w:cstheme="majorHAnsi"/>
                <w:b/>
                <w:color w:val="222222"/>
                <w:sz w:val="24"/>
                <w:szCs w:val="24"/>
              </w:rPr>
              <w:t>8.30am to 3.30pm with one hour for lunch</w:t>
            </w:r>
          </w:p>
          <w:p>
            <w:pPr>
              <w:shd w:val="clear" w:color="auto" w:fill="FFFFFF"/>
              <w:jc w:val="center"/>
              <w:rPr>
                <w:rFonts w:asciiTheme="minorHAnsi" w:eastAsia="Calibri" w:hAnsiTheme="minorHAnsi" w:cstheme="majorHAnsi"/>
                <w:b/>
                <w:color w:val="222222"/>
                <w:sz w:val="24"/>
                <w:szCs w:val="24"/>
              </w:rPr>
            </w:pPr>
            <w:r>
              <w:rPr>
                <w:rFonts w:asciiTheme="minorHAnsi" w:eastAsia="Calibri" w:hAnsiTheme="minorHAnsi" w:cstheme="majorHAnsi"/>
                <w:b/>
                <w:color w:val="222222"/>
                <w:sz w:val="24"/>
                <w:szCs w:val="24"/>
              </w:rPr>
              <w:t>30 hours per week)</w:t>
            </w:r>
          </w:p>
          <w:p>
            <w:pPr>
              <w:widowControl w:val="0"/>
              <w:pBdr>
                <w:top w:val="nil"/>
                <w:left w:val="nil"/>
                <w:bottom w:val="nil"/>
                <w:right w:val="nil"/>
                <w:between w:val="nil"/>
              </w:pBdr>
              <w:spacing w:line="240" w:lineRule="auto"/>
              <w:jc w:val="center"/>
              <w:rPr>
                <w:rFonts w:ascii="Calibri" w:eastAsia="Calibri" w:hAnsi="Calibri" w:cs="Calibri"/>
                <w:sz w:val="38"/>
                <w:szCs w:val="38"/>
                <w:highlight w:val="yellow"/>
              </w:rPr>
            </w:pPr>
          </w:p>
        </w:tc>
      </w:tr>
    </w:tbl>
    <w:p>
      <w:pPr>
        <w:jc w:val="center"/>
        <w:rPr>
          <w:rFonts w:ascii="Calibri" w:eastAsia="Calibri" w:hAnsi="Calibri" w:cs="Calibri"/>
          <w:sz w:val="46"/>
          <w:szCs w:val="46"/>
        </w:rPr>
      </w:pPr>
    </w:p>
    <w:p>
      <w:pPr>
        <w:rPr>
          <w:rFonts w:ascii="Calibri" w:eastAsia="Calibri" w:hAnsi="Calibri" w:cs="Calibri"/>
          <w:sz w:val="46"/>
          <w:szCs w:val="46"/>
        </w:rPr>
      </w:pPr>
    </w:p>
    <w:p>
      <w:pPr>
        <w:spacing w:after="160" w:line="259" w:lineRule="auto"/>
        <w:rPr>
          <w:rFonts w:ascii="Calibri" w:eastAsia="Calibri" w:hAnsi="Calibri" w:cs="Calibri"/>
          <w:color w:val="444444"/>
          <w:sz w:val="24"/>
          <w:szCs w:val="24"/>
        </w:rPr>
      </w:pPr>
      <w:r>
        <w:rPr>
          <w:rFonts w:ascii="Century Gothic" w:eastAsia="Century Gothic" w:hAnsi="Century Gothic" w:cs="Century Gothic"/>
          <w:noProof/>
          <w:sz w:val="24"/>
          <w:szCs w:val="24"/>
        </w:rPr>
        <w:lastRenderedPageBreak/>
        <w:drawing>
          <wp:inline distT="0" distB="0" distL="0" distR="0">
            <wp:extent cx="1137817" cy="655320"/>
            <wp:effectExtent l="0" t="0" r="5715"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143573" cy="658635"/>
                    </a:xfrm>
                    <a:prstGeom prst="rect">
                      <a:avLst/>
                    </a:prstGeom>
                    <a:ln/>
                  </pic:spPr>
                </pic:pic>
              </a:graphicData>
            </a:graphic>
          </wp:inline>
        </w:drawing>
      </w:r>
      <w:r>
        <w:rPr>
          <w:rFonts w:ascii="Century Gothic" w:eastAsia="Century Gothic" w:hAnsi="Century Gothic" w:cs="Century Gothic"/>
          <w:sz w:val="24"/>
          <w:szCs w:val="24"/>
        </w:rPr>
        <w:t xml:space="preserve">                                                                          </w:t>
      </w:r>
      <w:r>
        <w:rPr>
          <w:rFonts w:ascii="Century Gothic" w:eastAsia="Century Gothic" w:hAnsi="Century Gothic" w:cs="Century Gothic"/>
          <w:noProof/>
          <w:sz w:val="24"/>
          <w:szCs w:val="24"/>
        </w:rPr>
        <w:drawing>
          <wp:inline distT="114300" distB="114300" distL="114300" distR="114300">
            <wp:extent cx="1200150" cy="807720"/>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r="-14609" b="-14609"/>
                    <a:stretch>
                      <a:fillRect/>
                    </a:stretch>
                  </pic:blipFill>
                  <pic:spPr>
                    <a:xfrm>
                      <a:off x="0" y="0"/>
                      <a:ext cx="1200505" cy="807959"/>
                    </a:xfrm>
                    <a:prstGeom prst="rect">
                      <a:avLst/>
                    </a:prstGeom>
                    <a:ln/>
                  </pic:spPr>
                </pic:pic>
              </a:graphicData>
            </a:graphic>
          </wp:inline>
        </w:drawing>
      </w:r>
    </w:p>
    <w:p>
      <w:pPr>
        <w:jc w:val="both"/>
        <w:rPr>
          <w:rFonts w:asciiTheme="majorHAnsi" w:eastAsia="Calibri" w:hAnsiTheme="majorHAnsi" w:cstheme="majorHAnsi"/>
          <w:color w:val="444444"/>
        </w:rPr>
      </w:pPr>
      <w:r>
        <w:rPr>
          <w:rFonts w:asciiTheme="majorHAnsi" w:eastAsia="Calibri" w:hAnsiTheme="majorHAnsi" w:cstheme="majorHAnsi"/>
          <w:color w:val="444444"/>
        </w:rPr>
        <w:t>Dear Applicant,</w:t>
      </w:r>
    </w:p>
    <w:p>
      <w:pPr>
        <w:rPr>
          <w:rFonts w:asciiTheme="minorHAnsi" w:hAnsiTheme="minorHAnsi" w:cstheme="minorHAnsi"/>
          <w:szCs w:val="24"/>
        </w:rPr>
      </w:pPr>
      <w:r>
        <w:rPr>
          <w:rFonts w:asciiTheme="majorHAnsi" w:eastAsia="Calibri" w:hAnsiTheme="majorHAnsi" w:cstheme="majorHAnsi"/>
          <w:color w:val="444444"/>
        </w:rPr>
        <w:t xml:space="preserve">Thank you for your interest in this exciting opportunity to join Gwyn Jones Primary School as a member of team in the role of HLTA </w:t>
      </w:r>
      <w:r>
        <w:rPr>
          <w:rFonts w:asciiTheme="majorHAnsi" w:hAnsiTheme="majorHAnsi" w:cstheme="majorHAnsi"/>
          <w:szCs w:val="24"/>
        </w:rPr>
        <w:t xml:space="preserve">September 2024 on a one-year fixed contract. </w:t>
      </w:r>
      <w:r>
        <w:rPr>
          <w:rFonts w:asciiTheme="majorHAnsi" w:hAnsiTheme="majorHAnsi" w:cstheme="majorHAnsi"/>
          <w:szCs w:val="24"/>
          <w:shd w:val="clear" w:color="auto" w:fill="FFFFFF"/>
        </w:rPr>
        <w:t xml:space="preserve">You will be expected to work across N-Y6. One of the main focuses will be to cover </w:t>
      </w:r>
      <w:proofErr w:type="spellStart"/>
      <w:r>
        <w:rPr>
          <w:rFonts w:asciiTheme="majorHAnsi" w:hAnsiTheme="majorHAnsi" w:cstheme="majorHAnsi"/>
          <w:szCs w:val="24"/>
          <w:shd w:val="clear" w:color="auto" w:fill="FFFFFF"/>
        </w:rPr>
        <w:t>ppa</w:t>
      </w:r>
      <w:proofErr w:type="spellEnd"/>
      <w:r>
        <w:rPr>
          <w:rFonts w:asciiTheme="majorHAnsi" w:hAnsiTheme="majorHAnsi" w:cstheme="majorHAnsi"/>
          <w:szCs w:val="24"/>
          <w:shd w:val="clear" w:color="auto" w:fill="FFFFFF"/>
        </w:rPr>
        <w:t xml:space="preserve">, teacher absences, leadership and management time. In an exciting role for someone who wants to gain further experience prior to starting teacher training! We particularly welcome applications from candidates who have interests in Music, Art, French or Computing. </w:t>
      </w:r>
    </w:p>
    <w:p>
      <w:pPr>
        <w:jc w:val="both"/>
        <w:rPr>
          <w:rFonts w:asciiTheme="majorHAnsi" w:eastAsia="Calibri" w:hAnsiTheme="majorHAnsi" w:cstheme="majorHAnsi"/>
          <w:color w:val="444444"/>
        </w:rPr>
      </w:pPr>
      <w:r>
        <w:rPr>
          <w:rFonts w:asciiTheme="majorHAnsi" w:eastAsia="Calibri" w:hAnsiTheme="majorHAnsi" w:cstheme="majorHAnsi"/>
          <w:color w:val="444444"/>
        </w:rPr>
        <w:t xml:space="preserve"> </w:t>
      </w:r>
    </w:p>
    <w:p>
      <w:pPr>
        <w:jc w:val="both"/>
        <w:rPr>
          <w:rFonts w:asciiTheme="majorHAnsi" w:eastAsia="Calibri" w:hAnsiTheme="majorHAnsi" w:cstheme="majorHAnsi"/>
        </w:rPr>
      </w:pPr>
      <w:r>
        <w:rPr>
          <w:rFonts w:asciiTheme="majorHAnsi" w:eastAsia="Calibri" w:hAnsiTheme="majorHAnsi" w:cstheme="majorHAnsi"/>
        </w:rPr>
        <w:t xml:space="preserve">We are a two-form entry, culturally diverse school based in East London and we are very proud of our school.  Visitors comment on the warmth of the school and the friendliness of both staff and pupils alike.  Our dedicated staff team are incredibly hard working and are committed to creating a happy, secure and stimulating environment in which every child can achieve their potential and develop a life-long love of learning. </w:t>
      </w:r>
    </w:p>
    <w:p>
      <w:pPr>
        <w:jc w:val="both"/>
        <w:rPr>
          <w:rFonts w:asciiTheme="majorHAnsi" w:eastAsia="Calibri" w:hAnsiTheme="majorHAnsi" w:cstheme="majorHAnsi"/>
        </w:rPr>
      </w:pPr>
    </w:p>
    <w:p>
      <w:pPr>
        <w:jc w:val="both"/>
        <w:rPr>
          <w:rFonts w:asciiTheme="majorHAnsi" w:eastAsia="Calibri" w:hAnsiTheme="majorHAnsi" w:cstheme="majorHAnsi"/>
        </w:rPr>
      </w:pPr>
      <w:r>
        <w:rPr>
          <w:rFonts w:asciiTheme="majorHAnsi" w:eastAsia="Calibri" w:hAnsiTheme="majorHAnsi" w:cstheme="majorHAnsi"/>
        </w:rPr>
        <w:t xml:space="preserve">At Gwyn Jones Primary School we are a Rights Respecting School and we actively teach our children about the rights of the child. The Rights Respecting ethos permeates all parts of school life and into our school motto “Inspired and Empowered”.  This motto </w:t>
      </w:r>
      <w:proofErr w:type="spellStart"/>
      <w:r>
        <w:rPr>
          <w:rFonts w:asciiTheme="majorHAnsi" w:eastAsia="Calibri" w:hAnsiTheme="majorHAnsi" w:cstheme="majorHAnsi"/>
        </w:rPr>
        <w:t>epitomises</w:t>
      </w:r>
      <w:proofErr w:type="spellEnd"/>
      <w:r>
        <w:rPr>
          <w:rFonts w:asciiTheme="majorHAnsi" w:eastAsia="Calibri" w:hAnsiTheme="majorHAnsi" w:cstheme="majorHAnsi"/>
        </w:rPr>
        <w:t xml:space="preserve"> the staff’s genuine commitment to </w:t>
      </w:r>
      <w:r>
        <w:rPr>
          <w:rFonts w:asciiTheme="majorHAnsi" w:eastAsia="Calibri" w:hAnsiTheme="majorHAnsi" w:cstheme="majorHAnsi"/>
          <w:highlight w:val="white"/>
        </w:rPr>
        <w:t>provide a rich, creative and challenging curriculum which inspires children’s curiosity and empowers our pupils to have a voice and be knowledgeable, active global citizens.</w:t>
      </w:r>
      <w:r>
        <w:rPr>
          <w:rFonts w:asciiTheme="majorHAnsi" w:eastAsia="Calibri" w:hAnsiTheme="majorHAnsi" w:cstheme="majorHAnsi"/>
        </w:rPr>
        <w:t xml:space="preserve">  We strive to ensure that every child thrives academically whilst benefiting from excellent pastoral care that nurtures and develops emotional wellbeing.</w:t>
      </w:r>
    </w:p>
    <w:p>
      <w:pPr>
        <w:jc w:val="both"/>
        <w:rPr>
          <w:rFonts w:asciiTheme="majorHAnsi" w:eastAsia="Calibri" w:hAnsiTheme="majorHAnsi" w:cstheme="majorHAnsi"/>
        </w:rPr>
      </w:pPr>
    </w:p>
    <w:p>
      <w:pPr>
        <w:jc w:val="both"/>
        <w:rPr>
          <w:rFonts w:asciiTheme="majorHAnsi" w:eastAsia="Calibri" w:hAnsiTheme="majorHAnsi" w:cstheme="majorHAnsi"/>
        </w:rPr>
      </w:pPr>
      <w:r>
        <w:rPr>
          <w:rFonts w:asciiTheme="majorHAnsi" w:eastAsia="Calibri" w:hAnsiTheme="majorHAnsi" w:cstheme="majorHAnsi"/>
        </w:rPr>
        <w:t>We are looking for someone who has good communication skills and is flexible in their approach when supporting children and working alongside other colleagues. We know it is important to be positive, inspirational and a real team player. To add to our team, we wish to appoint an excellent Teaching Assistant who will draw upon their experience and expertise in teaching to raise standards for all children including those with SEND. Together, we will drive outstanding learning and teaching that is challenging, interesting and motivational to all pupils building inquiring lifelong learners who care for their world and all that live in it.</w:t>
      </w:r>
    </w:p>
    <w:p>
      <w:pPr>
        <w:jc w:val="both"/>
        <w:rPr>
          <w:rFonts w:asciiTheme="majorHAnsi" w:eastAsia="Calibri" w:hAnsiTheme="majorHAnsi" w:cstheme="majorHAnsi"/>
        </w:rPr>
      </w:pPr>
    </w:p>
    <w:p>
      <w:pPr>
        <w:jc w:val="both"/>
        <w:rPr>
          <w:rFonts w:asciiTheme="majorHAnsi" w:eastAsia="Calibri" w:hAnsiTheme="majorHAnsi" w:cstheme="majorHAnsi"/>
        </w:rPr>
      </w:pPr>
      <w:r>
        <w:rPr>
          <w:rFonts w:asciiTheme="majorHAnsi" w:eastAsia="Calibri" w:hAnsiTheme="majorHAnsi" w:cstheme="majorHAnsi"/>
        </w:rPr>
        <w:t xml:space="preserve">I hope this application pack and the information available generally on our website and on social media will give you a </w:t>
      </w:r>
      <w:proofErr w:type="spellStart"/>
      <w:r>
        <w:rPr>
          <w:rFonts w:asciiTheme="majorHAnsi" w:eastAsia="Calibri" w:hAnsiTheme="majorHAnsi" w:cstheme="majorHAnsi"/>
        </w:rPr>
        <w:t>flavour</w:t>
      </w:r>
      <w:proofErr w:type="spellEnd"/>
      <w:r>
        <w:rPr>
          <w:rFonts w:asciiTheme="majorHAnsi" w:eastAsia="Calibri" w:hAnsiTheme="majorHAnsi" w:cstheme="majorHAnsi"/>
        </w:rPr>
        <w:t xml:space="preserve"> of our School. I would be delighted to show you around our friendly and caring school.  To arrange a visit please contact the school office on 02085567904 or email: </w:t>
      </w:r>
      <w:hyperlink r:id="rId10">
        <w:r>
          <w:rPr>
            <w:rFonts w:asciiTheme="majorHAnsi" w:eastAsia="Calibri" w:hAnsiTheme="majorHAnsi" w:cstheme="majorHAnsi"/>
            <w:u w:val="single"/>
          </w:rPr>
          <w:t>HR@gwynjones.waltham.sch.uk</w:t>
        </w:r>
      </w:hyperlink>
      <w:r>
        <w:rPr>
          <w:rFonts w:asciiTheme="majorHAnsi" w:eastAsia="Calibri" w:hAnsiTheme="majorHAnsi" w:cstheme="majorHAnsi"/>
        </w:rPr>
        <w:t xml:space="preserve"> </w:t>
      </w:r>
    </w:p>
    <w:p>
      <w:pPr>
        <w:jc w:val="both"/>
        <w:rPr>
          <w:rFonts w:asciiTheme="majorHAnsi" w:eastAsia="Calibri" w:hAnsiTheme="majorHAnsi" w:cstheme="majorHAnsi"/>
        </w:rPr>
      </w:pPr>
      <w:r>
        <w:rPr>
          <w:rFonts w:asciiTheme="majorHAnsi" w:eastAsia="Calibri" w:hAnsiTheme="majorHAnsi" w:cstheme="majorHAnsi"/>
        </w:rPr>
        <w:t>I look forward to meeting with you</w:t>
      </w:r>
    </w:p>
    <w:p>
      <w:pPr>
        <w:jc w:val="both"/>
        <w:rPr>
          <w:rFonts w:asciiTheme="majorHAnsi" w:eastAsia="Calibri" w:hAnsiTheme="majorHAnsi" w:cstheme="majorHAnsi"/>
          <w:color w:val="444444"/>
        </w:rPr>
      </w:pPr>
      <w:r>
        <w:rPr>
          <w:rFonts w:asciiTheme="majorHAnsi" w:eastAsia="Calibri" w:hAnsiTheme="majorHAnsi" w:cstheme="majorHAnsi"/>
          <w:b/>
          <w:color w:val="444444"/>
        </w:rPr>
        <w:t>Sian Boutalbi</w:t>
      </w:r>
    </w:p>
    <w:p>
      <w:pPr>
        <w:jc w:val="both"/>
        <w:rPr>
          <w:rFonts w:asciiTheme="majorHAnsi" w:eastAsia="Calibri" w:hAnsiTheme="majorHAnsi" w:cstheme="majorHAnsi"/>
          <w:b/>
          <w:color w:val="444444"/>
        </w:rPr>
      </w:pPr>
      <w:bookmarkStart w:id="1" w:name="_Hlk105480754"/>
      <w:r>
        <w:rPr>
          <w:rFonts w:asciiTheme="majorHAnsi" w:eastAsia="Calibri" w:hAnsiTheme="majorHAnsi" w:cstheme="majorHAnsi"/>
          <w:b/>
          <w:color w:val="444444"/>
        </w:rPr>
        <w:t>Headteacher</w:t>
      </w:r>
    </w:p>
    <w:bookmarkEnd w:id="0"/>
    <w:p>
      <w:pPr>
        <w:spacing w:after="160" w:line="259" w:lineRule="auto"/>
        <w:jc w:val="both"/>
        <w:rPr>
          <w:rFonts w:asciiTheme="majorHAnsi" w:eastAsia="Calibri" w:hAnsiTheme="majorHAnsi" w:cstheme="majorHAnsi"/>
        </w:rPr>
      </w:pPr>
      <w:r>
        <w:rPr>
          <w:rFonts w:asciiTheme="majorHAnsi" w:eastAsia="Century Gothic" w:hAnsiTheme="majorHAnsi" w:cstheme="majorHAnsi"/>
          <w:noProof/>
        </w:rPr>
        <w:lastRenderedPageBreak/>
        <w:drawing>
          <wp:inline distT="0" distB="0" distL="0" distR="0">
            <wp:extent cx="981075" cy="766763"/>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981075" cy="766763"/>
                    </a:xfrm>
                    <a:prstGeom prst="rect">
                      <a:avLst/>
                    </a:prstGeom>
                    <a:ln/>
                  </pic:spPr>
                </pic:pic>
              </a:graphicData>
            </a:graphic>
          </wp:inline>
        </w:drawing>
      </w:r>
      <w:r>
        <w:rPr>
          <w:rFonts w:asciiTheme="majorHAnsi" w:eastAsia="Century Gothic" w:hAnsiTheme="majorHAnsi" w:cstheme="majorHAnsi"/>
        </w:rPr>
        <w:t xml:space="preserve">                                                                                                                </w:t>
      </w:r>
      <w:r>
        <w:rPr>
          <w:rFonts w:asciiTheme="majorHAnsi" w:eastAsia="Century Gothic" w:hAnsiTheme="majorHAnsi" w:cstheme="majorHAnsi"/>
          <w:noProof/>
        </w:rPr>
        <w:drawing>
          <wp:inline distT="114300" distB="114300" distL="114300" distR="114300">
            <wp:extent cx="824865" cy="1143000"/>
            <wp:effectExtent l="95250" t="38100" r="32385" b="95250"/>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825132" cy="1143370"/>
                    </a:xfrm>
                    <a:prstGeom prst="rect">
                      <a:avLst/>
                    </a:prstGeom>
                    <a:ln/>
                    <a:effectLst>
                      <a:outerShdw blurRad="50800" dist="38100" dir="8100000" algn="tr" rotWithShape="0">
                        <a:prstClr val="black">
                          <a:alpha val="40000"/>
                        </a:prstClr>
                      </a:outerShdw>
                    </a:effectLst>
                  </pic:spPr>
                </pic:pic>
              </a:graphicData>
            </a:graphic>
          </wp:inline>
        </w:drawing>
      </w:r>
    </w:p>
    <w:p>
      <w:pPr>
        <w:spacing w:after="160" w:line="259" w:lineRule="auto"/>
        <w:jc w:val="both"/>
        <w:rPr>
          <w:rFonts w:asciiTheme="majorHAnsi" w:eastAsia="Calibri" w:hAnsiTheme="majorHAnsi" w:cstheme="majorHAnsi"/>
        </w:rPr>
      </w:pPr>
    </w:p>
    <w:p>
      <w:pPr>
        <w:spacing w:after="160" w:line="259" w:lineRule="auto"/>
        <w:jc w:val="both"/>
        <w:rPr>
          <w:rFonts w:asciiTheme="majorHAnsi" w:eastAsia="Calibri" w:hAnsiTheme="majorHAnsi" w:cstheme="majorHAnsi"/>
        </w:rPr>
      </w:pPr>
      <w:r>
        <w:rPr>
          <w:rFonts w:asciiTheme="majorHAnsi" w:eastAsia="Calibri" w:hAnsiTheme="majorHAnsi" w:cstheme="majorHAnsi"/>
        </w:rPr>
        <w:t xml:space="preserve">Dear Applicant, </w:t>
      </w:r>
    </w:p>
    <w:p>
      <w:pPr>
        <w:spacing w:after="160" w:line="259" w:lineRule="auto"/>
        <w:jc w:val="both"/>
        <w:rPr>
          <w:rFonts w:asciiTheme="majorHAnsi" w:eastAsia="Calibri" w:hAnsiTheme="majorHAnsi" w:cstheme="majorHAnsi"/>
        </w:rPr>
      </w:pPr>
      <w:r>
        <w:rPr>
          <w:rFonts w:asciiTheme="majorHAnsi" w:eastAsia="Calibri" w:hAnsiTheme="majorHAnsi" w:cstheme="majorHAnsi"/>
        </w:rPr>
        <w:t xml:space="preserve">Thank you for your interest in the position of Teaching Assistant at Gwyn Jones Primary School. </w:t>
      </w:r>
    </w:p>
    <w:p>
      <w:pPr>
        <w:spacing w:after="160" w:line="259" w:lineRule="auto"/>
        <w:jc w:val="both"/>
        <w:rPr>
          <w:rFonts w:asciiTheme="majorHAnsi" w:eastAsia="Calibri" w:hAnsiTheme="majorHAnsi" w:cstheme="majorHAnsi"/>
        </w:rPr>
      </w:pPr>
      <w:r>
        <w:rPr>
          <w:rFonts w:asciiTheme="majorHAnsi" w:eastAsia="Calibri" w:hAnsiTheme="majorHAnsi" w:cstheme="majorHAnsi"/>
        </w:rPr>
        <w:t xml:space="preserve">Gwyn Jones is a successful and very popular school within the local area. We are fortunate in having an engaged and culturally diverse community, a hardworking and talented staff team and amazing pupils. </w:t>
      </w:r>
    </w:p>
    <w:p>
      <w:pPr>
        <w:spacing w:after="160" w:line="259" w:lineRule="auto"/>
        <w:jc w:val="both"/>
        <w:rPr>
          <w:rFonts w:asciiTheme="majorHAnsi" w:eastAsia="Calibri" w:hAnsiTheme="majorHAnsi" w:cstheme="majorHAnsi"/>
        </w:rPr>
      </w:pPr>
      <w:r>
        <w:rPr>
          <w:rFonts w:asciiTheme="majorHAnsi" w:eastAsia="Calibri" w:hAnsiTheme="majorHAnsi" w:cstheme="majorHAnsi"/>
        </w:rPr>
        <w:t xml:space="preserve">As Governors, we work alongside the Head and her dedicated team in our common belief in the fundamental importance of Primary Education as the foundation for developing a lifelong love of learning in our children. Our Governing Board is keen to develop its skills and knowledge of the school and its community and supports the drive within school for continuous improvement within a nurturing and supportive environment. </w:t>
      </w:r>
    </w:p>
    <w:p>
      <w:pPr>
        <w:spacing w:after="160" w:line="259" w:lineRule="auto"/>
        <w:jc w:val="both"/>
        <w:rPr>
          <w:rFonts w:asciiTheme="majorHAnsi" w:eastAsia="Calibri" w:hAnsiTheme="majorHAnsi" w:cstheme="majorHAnsi"/>
        </w:rPr>
      </w:pPr>
      <w:r>
        <w:rPr>
          <w:rFonts w:asciiTheme="majorHAnsi" w:eastAsia="Calibri" w:hAnsiTheme="majorHAnsi" w:cstheme="majorHAnsi"/>
        </w:rPr>
        <w:t xml:space="preserve">Our curriculum is rich, diverse and challenging and aims to provide a range of exciting and meaningful experiences which foster confidence and provide aspirations. Staff plan for children to be academically challenged, creatively inspired and supported in their personal development. </w:t>
      </w:r>
    </w:p>
    <w:p>
      <w:pPr>
        <w:spacing w:after="160" w:line="259" w:lineRule="auto"/>
        <w:jc w:val="both"/>
        <w:rPr>
          <w:rFonts w:asciiTheme="majorHAnsi" w:eastAsia="Calibri" w:hAnsiTheme="majorHAnsi" w:cstheme="majorHAnsi"/>
        </w:rPr>
      </w:pPr>
      <w:r>
        <w:rPr>
          <w:rFonts w:asciiTheme="majorHAnsi" w:eastAsia="Calibri" w:hAnsiTheme="majorHAnsi" w:cstheme="majorHAnsi"/>
        </w:rPr>
        <w:t>Gwyn Jones maintains strong links with other local schools within Waltham Forest. As a member of our staff team you would receive ongoing support and development in your role.</w:t>
      </w:r>
    </w:p>
    <w:p>
      <w:pPr>
        <w:spacing w:after="160" w:line="259" w:lineRule="auto"/>
        <w:jc w:val="both"/>
        <w:rPr>
          <w:rFonts w:asciiTheme="majorHAnsi" w:eastAsia="Calibri" w:hAnsiTheme="majorHAnsi" w:cstheme="majorHAnsi"/>
        </w:rPr>
      </w:pPr>
      <w:r>
        <w:rPr>
          <w:rFonts w:asciiTheme="majorHAnsi" w:eastAsia="Calibri" w:hAnsiTheme="majorHAnsi" w:cstheme="majorHAnsi"/>
        </w:rPr>
        <w:t xml:space="preserve">If the thought of this role in our school excites you, we look forward to receiving your application. </w:t>
      </w:r>
    </w:p>
    <w:p>
      <w:pPr>
        <w:spacing w:after="160" w:line="259" w:lineRule="auto"/>
        <w:jc w:val="both"/>
        <w:rPr>
          <w:rFonts w:asciiTheme="majorHAnsi" w:eastAsia="Calibri" w:hAnsiTheme="majorHAnsi" w:cstheme="majorHAnsi"/>
          <w:b/>
        </w:rPr>
      </w:pPr>
      <w:r>
        <w:rPr>
          <w:rFonts w:asciiTheme="majorHAnsi" w:eastAsia="Calibri" w:hAnsiTheme="majorHAnsi" w:cstheme="majorHAnsi"/>
          <w:b/>
        </w:rPr>
        <w:t>Liz Jackson</w:t>
      </w:r>
    </w:p>
    <w:p>
      <w:pPr>
        <w:spacing w:after="160" w:line="259" w:lineRule="auto"/>
        <w:jc w:val="both"/>
        <w:rPr>
          <w:rFonts w:asciiTheme="majorHAnsi" w:eastAsia="Calibri" w:hAnsiTheme="majorHAnsi" w:cstheme="majorHAnsi"/>
          <w:b/>
        </w:rPr>
      </w:pPr>
      <w:r>
        <w:rPr>
          <w:rFonts w:asciiTheme="majorHAnsi" w:eastAsia="Calibri" w:hAnsiTheme="majorHAnsi" w:cstheme="majorHAnsi"/>
          <w:b/>
        </w:rPr>
        <w:t>Chair of Governors</w:t>
      </w:r>
    </w:p>
    <w:p>
      <w:pPr>
        <w:spacing w:after="160" w:line="259" w:lineRule="auto"/>
        <w:rPr>
          <w:rFonts w:ascii="Calibri" w:eastAsia="Calibri" w:hAnsi="Calibri" w:cs="Calibri"/>
          <w:sz w:val="24"/>
          <w:szCs w:val="24"/>
        </w:rPr>
      </w:pPr>
    </w:p>
    <w:p>
      <w:pPr>
        <w:spacing w:after="160" w:line="259" w:lineRule="auto"/>
        <w:jc w:val="center"/>
        <w:rPr>
          <w:rFonts w:ascii="Century Gothic" w:eastAsia="Century Gothic" w:hAnsi="Century Gothic" w:cs="Century Gothic"/>
          <w:sz w:val="24"/>
          <w:szCs w:val="24"/>
        </w:rPr>
      </w:pPr>
    </w:p>
    <w:p>
      <w:pPr>
        <w:spacing w:after="160" w:line="259" w:lineRule="auto"/>
        <w:jc w:val="center"/>
        <w:rPr>
          <w:rFonts w:ascii="Century Gothic" w:eastAsia="Century Gothic" w:hAnsi="Century Gothic" w:cs="Century Gothic"/>
          <w:sz w:val="24"/>
          <w:szCs w:val="24"/>
        </w:rPr>
      </w:pPr>
    </w:p>
    <w:p>
      <w:pPr>
        <w:spacing w:after="160" w:line="259" w:lineRule="auto"/>
        <w:jc w:val="center"/>
        <w:rPr>
          <w:rFonts w:ascii="Century Gothic" w:eastAsia="Century Gothic" w:hAnsi="Century Gothic" w:cs="Century Gothic"/>
          <w:sz w:val="24"/>
          <w:szCs w:val="24"/>
        </w:rPr>
      </w:pPr>
    </w:p>
    <w:p>
      <w:pPr>
        <w:rPr>
          <w:rFonts w:ascii="Century Gothic" w:eastAsia="Century Gothic" w:hAnsi="Century Gothic" w:cs="Century Gothic"/>
          <w:sz w:val="24"/>
          <w:szCs w:val="24"/>
        </w:rPr>
      </w:pPr>
    </w:p>
    <w:p>
      <w:pPr>
        <w:rPr>
          <w:rFonts w:ascii="Century Gothic" w:eastAsia="Century Gothic" w:hAnsi="Century Gothic" w:cs="Century Gothic"/>
          <w:sz w:val="24"/>
          <w:szCs w:val="24"/>
        </w:rPr>
      </w:pPr>
    </w:p>
    <w:p>
      <w:pPr>
        <w:rPr>
          <w:rFonts w:ascii="Century Gothic" w:eastAsia="Century Gothic" w:hAnsi="Century Gothic" w:cs="Century Gothic"/>
          <w:sz w:val="24"/>
          <w:szCs w:val="24"/>
        </w:rPr>
      </w:pPr>
    </w:p>
    <w:p>
      <w:pPr>
        <w:jc w:val="center"/>
        <w:rPr>
          <w:rFonts w:ascii="Calibri" w:eastAsia="Calibri" w:hAnsi="Calibri" w:cs="Calibri"/>
          <w:sz w:val="24"/>
          <w:szCs w:val="24"/>
        </w:rPr>
      </w:pPr>
    </w:p>
    <w:p>
      <w:pPr>
        <w:jc w:val="center"/>
        <w:rPr>
          <w:rFonts w:ascii="Calibri" w:eastAsia="Calibri" w:hAnsi="Calibri" w:cs="Calibri"/>
          <w:sz w:val="24"/>
          <w:szCs w:val="24"/>
        </w:rPr>
      </w:pPr>
    </w:p>
    <w:p>
      <w:pPr>
        <w:rPr>
          <w:rFonts w:ascii="Calibri" w:eastAsia="Calibri" w:hAnsi="Calibri" w:cs="Calibri"/>
          <w:sz w:val="24"/>
          <w:szCs w:val="24"/>
        </w:rPr>
      </w:pPr>
    </w:p>
    <w:p>
      <w:pPr>
        <w:rPr>
          <w:rFonts w:ascii="Calibri" w:eastAsia="Calibri" w:hAnsi="Calibri" w:cs="Calibri"/>
          <w:b/>
          <w:sz w:val="28"/>
          <w:szCs w:val="28"/>
        </w:rPr>
      </w:pPr>
      <w:r>
        <w:rPr>
          <w:rFonts w:ascii="Calibri" w:eastAsia="Calibri" w:hAnsi="Calibri" w:cs="Calibri"/>
          <w:b/>
          <w:sz w:val="28"/>
          <w:szCs w:val="28"/>
        </w:rPr>
        <w:lastRenderedPageBreak/>
        <w:t>Vision and Values</w:t>
      </w:r>
    </w:p>
    <w:p>
      <w:pPr>
        <w:rPr>
          <w:rFonts w:ascii="Calibri" w:eastAsia="Calibri" w:hAnsi="Calibri" w:cs="Calibri"/>
          <w:b/>
          <w:sz w:val="28"/>
          <w:szCs w:val="28"/>
          <w:u w:val="single"/>
        </w:rPr>
      </w:pPr>
    </w:p>
    <w:p>
      <w:pPr>
        <w:shd w:val="clear" w:color="auto" w:fill="FFFFFF"/>
        <w:spacing w:before="240" w:after="240"/>
        <w:jc w:val="center"/>
        <w:rPr>
          <w:rFonts w:asciiTheme="majorHAnsi" w:eastAsia="Calibri" w:hAnsiTheme="majorHAnsi" w:cstheme="majorHAnsi"/>
          <w:b/>
          <w:color w:val="222222"/>
          <w:sz w:val="26"/>
          <w:szCs w:val="26"/>
        </w:rPr>
      </w:pPr>
      <w:r>
        <w:rPr>
          <w:rFonts w:asciiTheme="majorHAnsi" w:eastAsia="Calibri" w:hAnsiTheme="majorHAnsi" w:cstheme="majorHAnsi"/>
          <w:noProof/>
          <w:color w:val="222222"/>
          <w:sz w:val="26"/>
          <w:szCs w:val="26"/>
        </w:rPr>
        <w:drawing>
          <wp:inline distT="114300" distB="114300" distL="114300" distR="114300">
            <wp:extent cx="4143375" cy="542925"/>
            <wp:effectExtent l="0" t="0" r="9525" b="9525"/>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339491" cy="568623"/>
                    </a:xfrm>
                    <a:prstGeom prst="rect">
                      <a:avLst/>
                    </a:prstGeom>
                    <a:ln/>
                  </pic:spPr>
                </pic:pic>
              </a:graphicData>
            </a:graphic>
          </wp:inline>
        </w:drawing>
      </w:r>
    </w:p>
    <w:p>
      <w:pPr>
        <w:jc w:val="center"/>
      </w:pPr>
    </w:p>
    <w:p>
      <w:pPr>
        <w:shd w:val="clear" w:color="auto" w:fill="FFFFFF"/>
        <w:spacing w:before="260" w:after="220"/>
        <w:rPr>
          <w:rFonts w:ascii="Calibri" w:eastAsia="Calibri" w:hAnsi="Calibri" w:cs="Calibri"/>
          <w:color w:val="444444"/>
          <w:sz w:val="24"/>
          <w:szCs w:val="24"/>
        </w:rPr>
      </w:pPr>
      <w:r>
        <w:rPr>
          <w:rFonts w:ascii="Calibri" w:eastAsia="Calibri" w:hAnsi="Calibri" w:cs="Calibri"/>
          <w:color w:val="444444"/>
          <w:sz w:val="24"/>
          <w:szCs w:val="24"/>
        </w:rPr>
        <w:t xml:space="preserve">At Gwyn Jones, we are committed to ensuring that every member of our school community is </w:t>
      </w:r>
      <w:r>
        <w:rPr>
          <w:rFonts w:ascii="Calibri" w:eastAsia="Calibri" w:hAnsi="Calibri" w:cs="Calibri"/>
          <w:b/>
          <w:color w:val="444444"/>
          <w:sz w:val="24"/>
          <w:szCs w:val="24"/>
        </w:rPr>
        <w:t>inspired and empowered</w:t>
      </w:r>
      <w:r>
        <w:rPr>
          <w:rFonts w:ascii="Calibri" w:eastAsia="Calibri" w:hAnsi="Calibri" w:cs="Calibri"/>
          <w:color w:val="444444"/>
          <w:sz w:val="24"/>
          <w:szCs w:val="24"/>
        </w:rPr>
        <w:t xml:space="preserve"> each day.</w:t>
      </w:r>
    </w:p>
    <w:p>
      <w:pPr>
        <w:shd w:val="clear" w:color="auto" w:fill="FFFFFF"/>
        <w:spacing w:before="260" w:after="220"/>
        <w:rPr>
          <w:rFonts w:ascii="Calibri" w:eastAsia="Calibri" w:hAnsi="Calibri" w:cs="Calibri"/>
          <w:color w:val="444444"/>
          <w:sz w:val="24"/>
          <w:szCs w:val="24"/>
        </w:rPr>
      </w:pPr>
      <w:r>
        <w:rPr>
          <w:rFonts w:ascii="Calibri" w:eastAsia="Calibri" w:hAnsi="Calibri" w:cs="Calibri"/>
          <w:color w:val="444444"/>
          <w:sz w:val="24"/>
          <w:szCs w:val="24"/>
        </w:rPr>
        <w:t>We aim to inspire and empower our children by:</w:t>
      </w:r>
    </w:p>
    <w:p>
      <w:pPr>
        <w:numPr>
          <w:ilvl w:val="0"/>
          <w:numId w:val="1"/>
        </w:numPr>
        <w:shd w:val="clear" w:color="auto" w:fill="FFFFFF"/>
        <w:rPr>
          <w:rFonts w:ascii="Calibri" w:eastAsia="Calibri" w:hAnsi="Calibri" w:cs="Calibri"/>
          <w:sz w:val="24"/>
          <w:szCs w:val="24"/>
        </w:rPr>
      </w:pPr>
      <w:r>
        <w:rPr>
          <w:rFonts w:ascii="Calibri" w:eastAsia="Calibri" w:hAnsi="Calibri" w:cs="Calibri"/>
          <w:color w:val="444444"/>
          <w:sz w:val="24"/>
          <w:szCs w:val="24"/>
        </w:rPr>
        <w:t>Providing excellent teaching which nurtures our children’s innate curiosity, allowing them opportunities to take risks and to think for themselves.</w:t>
      </w:r>
    </w:p>
    <w:p>
      <w:pPr>
        <w:numPr>
          <w:ilvl w:val="0"/>
          <w:numId w:val="1"/>
        </w:numPr>
        <w:shd w:val="clear" w:color="auto" w:fill="FFFFFF"/>
        <w:rPr>
          <w:rFonts w:ascii="Calibri" w:eastAsia="Calibri" w:hAnsi="Calibri" w:cs="Calibri"/>
          <w:sz w:val="24"/>
          <w:szCs w:val="24"/>
        </w:rPr>
      </w:pPr>
      <w:r>
        <w:rPr>
          <w:rFonts w:ascii="Calibri" w:eastAsia="Calibri" w:hAnsi="Calibri" w:cs="Calibri"/>
          <w:color w:val="444444"/>
          <w:sz w:val="24"/>
          <w:szCs w:val="24"/>
        </w:rPr>
        <w:t>Supporting our children to have responsibility for their own learning; to have their own opinions and the skills to articulate them.</w:t>
      </w:r>
    </w:p>
    <w:p>
      <w:pPr>
        <w:numPr>
          <w:ilvl w:val="0"/>
          <w:numId w:val="1"/>
        </w:numPr>
        <w:shd w:val="clear" w:color="auto" w:fill="FFFFFF"/>
        <w:rPr>
          <w:rFonts w:ascii="Calibri" w:eastAsia="Calibri" w:hAnsi="Calibri" w:cs="Calibri"/>
          <w:sz w:val="24"/>
          <w:szCs w:val="24"/>
        </w:rPr>
      </w:pPr>
      <w:r>
        <w:rPr>
          <w:rFonts w:ascii="Calibri" w:eastAsia="Calibri" w:hAnsi="Calibri" w:cs="Calibri"/>
          <w:color w:val="444444"/>
          <w:sz w:val="24"/>
          <w:szCs w:val="24"/>
        </w:rPr>
        <w:t>Allowing all children access to a rich and broad curriculum which fully prepares them to be active, global citizens.</w:t>
      </w:r>
    </w:p>
    <w:p>
      <w:pPr>
        <w:numPr>
          <w:ilvl w:val="0"/>
          <w:numId w:val="1"/>
        </w:numPr>
        <w:shd w:val="clear" w:color="auto" w:fill="FFFFFF"/>
        <w:rPr>
          <w:rFonts w:ascii="Calibri" w:eastAsia="Calibri" w:hAnsi="Calibri" w:cs="Calibri"/>
          <w:sz w:val="24"/>
          <w:szCs w:val="24"/>
        </w:rPr>
      </w:pPr>
      <w:r>
        <w:rPr>
          <w:rFonts w:ascii="Calibri" w:eastAsia="Calibri" w:hAnsi="Calibri" w:cs="Calibri"/>
          <w:color w:val="444444"/>
          <w:sz w:val="24"/>
          <w:szCs w:val="24"/>
        </w:rPr>
        <w:t>Ensuring all children participate in a variety of trips and visitors in their local and wider community.</w:t>
      </w:r>
    </w:p>
    <w:p>
      <w:pPr>
        <w:numPr>
          <w:ilvl w:val="0"/>
          <w:numId w:val="1"/>
        </w:numPr>
        <w:shd w:val="clear" w:color="auto" w:fill="FFFFFF"/>
        <w:rPr>
          <w:rFonts w:ascii="Calibri" w:eastAsia="Calibri" w:hAnsi="Calibri" w:cs="Calibri"/>
          <w:sz w:val="24"/>
          <w:szCs w:val="24"/>
        </w:rPr>
      </w:pPr>
      <w:r>
        <w:rPr>
          <w:rFonts w:ascii="Calibri" w:eastAsia="Calibri" w:hAnsi="Calibri" w:cs="Calibri"/>
          <w:color w:val="444444"/>
          <w:sz w:val="24"/>
          <w:szCs w:val="24"/>
        </w:rPr>
        <w:t>Acting as role models who respect others and enjoy the rich diversity of our school family.</w:t>
      </w:r>
    </w:p>
    <w:p>
      <w:pPr>
        <w:numPr>
          <w:ilvl w:val="0"/>
          <w:numId w:val="1"/>
        </w:numPr>
        <w:shd w:val="clear" w:color="auto" w:fill="FFFFFF"/>
        <w:rPr>
          <w:rFonts w:ascii="Calibri" w:eastAsia="Calibri" w:hAnsi="Calibri" w:cs="Calibri"/>
          <w:sz w:val="24"/>
          <w:szCs w:val="24"/>
        </w:rPr>
      </w:pPr>
      <w:r>
        <w:rPr>
          <w:rFonts w:ascii="Calibri" w:eastAsia="Calibri" w:hAnsi="Calibri" w:cs="Calibri"/>
          <w:color w:val="444444"/>
          <w:sz w:val="24"/>
          <w:szCs w:val="24"/>
        </w:rPr>
        <w:t>Insisting that every child is known well, safe and nurtured to achieve their personal best.</w:t>
      </w:r>
    </w:p>
    <w:p>
      <w:pPr>
        <w:shd w:val="clear" w:color="auto" w:fill="FFFFFF"/>
        <w:spacing w:before="260" w:after="220"/>
        <w:rPr>
          <w:rFonts w:ascii="Calibri" w:eastAsia="Calibri" w:hAnsi="Calibri" w:cs="Calibri"/>
          <w:color w:val="444444"/>
          <w:sz w:val="24"/>
          <w:szCs w:val="24"/>
        </w:rPr>
      </w:pPr>
      <w:r>
        <w:rPr>
          <w:rFonts w:ascii="Calibri" w:eastAsia="Calibri" w:hAnsi="Calibri" w:cs="Calibri"/>
          <w:color w:val="444444"/>
          <w:sz w:val="24"/>
          <w:szCs w:val="24"/>
        </w:rPr>
        <w:t>We aim to inspire and empower our staff by:</w:t>
      </w:r>
    </w:p>
    <w:p>
      <w:pPr>
        <w:numPr>
          <w:ilvl w:val="0"/>
          <w:numId w:val="2"/>
        </w:numPr>
        <w:shd w:val="clear" w:color="auto" w:fill="FFFFFF"/>
        <w:rPr>
          <w:rFonts w:ascii="Calibri" w:eastAsia="Calibri" w:hAnsi="Calibri" w:cs="Calibri"/>
          <w:sz w:val="24"/>
          <w:szCs w:val="24"/>
        </w:rPr>
      </w:pPr>
      <w:r>
        <w:rPr>
          <w:rFonts w:ascii="Calibri" w:eastAsia="Calibri" w:hAnsi="Calibri" w:cs="Calibri"/>
          <w:color w:val="444444"/>
          <w:sz w:val="24"/>
          <w:szCs w:val="24"/>
        </w:rPr>
        <w:t>Providing a wide range of relevant and innovative professional learning in school which focuses on collaboration and sharing good practice, including lesson study, planning support, team teacher and action research.</w:t>
      </w:r>
    </w:p>
    <w:p>
      <w:pPr>
        <w:numPr>
          <w:ilvl w:val="0"/>
          <w:numId w:val="2"/>
        </w:numPr>
        <w:shd w:val="clear" w:color="auto" w:fill="FFFFFF"/>
        <w:rPr>
          <w:rFonts w:ascii="Calibri" w:eastAsia="Calibri" w:hAnsi="Calibri" w:cs="Calibri"/>
          <w:sz w:val="24"/>
          <w:szCs w:val="24"/>
        </w:rPr>
      </w:pPr>
      <w:r>
        <w:rPr>
          <w:rFonts w:ascii="Calibri" w:eastAsia="Calibri" w:hAnsi="Calibri" w:cs="Calibri"/>
          <w:color w:val="444444"/>
          <w:sz w:val="24"/>
          <w:szCs w:val="24"/>
        </w:rPr>
        <w:t>Forging strong links with external agencies to deliver professional development - teaching schools, higher education institutes etc.</w:t>
      </w:r>
    </w:p>
    <w:p>
      <w:pPr>
        <w:numPr>
          <w:ilvl w:val="0"/>
          <w:numId w:val="2"/>
        </w:numPr>
        <w:shd w:val="clear" w:color="auto" w:fill="FFFFFF"/>
        <w:rPr>
          <w:rFonts w:ascii="Calibri" w:eastAsia="Calibri" w:hAnsi="Calibri" w:cs="Calibri"/>
          <w:sz w:val="24"/>
          <w:szCs w:val="24"/>
        </w:rPr>
      </w:pPr>
      <w:r>
        <w:rPr>
          <w:rFonts w:ascii="Calibri" w:eastAsia="Calibri" w:hAnsi="Calibri" w:cs="Calibri"/>
          <w:color w:val="444444"/>
          <w:sz w:val="24"/>
          <w:szCs w:val="24"/>
        </w:rPr>
        <w:t>Giving developmental feedback with clear and specific actions for staff and leaders.</w:t>
      </w:r>
    </w:p>
    <w:p>
      <w:pPr>
        <w:numPr>
          <w:ilvl w:val="0"/>
          <w:numId w:val="2"/>
        </w:numPr>
        <w:shd w:val="clear" w:color="auto" w:fill="FFFFFF"/>
        <w:rPr>
          <w:rFonts w:ascii="Calibri" w:eastAsia="Calibri" w:hAnsi="Calibri" w:cs="Calibri"/>
          <w:sz w:val="24"/>
          <w:szCs w:val="24"/>
        </w:rPr>
      </w:pPr>
      <w:r>
        <w:rPr>
          <w:rFonts w:ascii="Calibri" w:eastAsia="Calibri" w:hAnsi="Calibri" w:cs="Calibri"/>
          <w:color w:val="444444"/>
          <w:sz w:val="24"/>
          <w:szCs w:val="24"/>
        </w:rPr>
        <w:t>Establishing coaching and mentoring relationships which encourage reflection.</w:t>
      </w:r>
    </w:p>
    <w:p>
      <w:pPr>
        <w:numPr>
          <w:ilvl w:val="0"/>
          <w:numId w:val="2"/>
        </w:numPr>
        <w:shd w:val="clear" w:color="auto" w:fill="FFFFFF"/>
        <w:rPr>
          <w:rFonts w:ascii="Calibri" w:eastAsia="Calibri" w:hAnsi="Calibri" w:cs="Calibri"/>
          <w:sz w:val="24"/>
          <w:szCs w:val="24"/>
        </w:rPr>
      </w:pPr>
      <w:r>
        <w:rPr>
          <w:rFonts w:ascii="Calibri" w:eastAsia="Calibri" w:hAnsi="Calibri" w:cs="Calibri"/>
          <w:color w:val="444444"/>
          <w:sz w:val="24"/>
          <w:szCs w:val="24"/>
        </w:rPr>
        <w:t>Identifying and nurturing leadership talent.</w:t>
      </w:r>
    </w:p>
    <w:p>
      <w:pPr>
        <w:rPr>
          <w:rFonts w:ascii="Calibri" w:eastAsia="Calibri" w:hAnsi="Calibri" w:cs="Calibri"/>
          <w:sz w:val="24"/>
          <w:szCs w:val="24"/>
        </w:rPr>
      </w:pPr>
    </w:p>
    <w:p>
      <w:pPr>
        <w:rPr>
          <w:rFonts w:ascii="Calibri" w:eastAsia="Calibri" w:hAnsi="Calibri" w:cs="Calibri"/>
          <w:sz w:val="24"/>
          <w:szCs w:val="24"/>
        </w:rPr>
      </w:pPr>
    </w:p>
    <w:p>
      <w:pPr>
        <w:rPr>
          <w:rFonts w:ascii="Calibri" w:eastAsia="Calibri" w:hAnsi="Calibri" w:cs="Calibri"/>
          <w:sz w:val="24"/>
          <w:szCs w:val="24"/>
        </w:rPr>
      </w:pPr>
    </w:p>
    <w:p>
      <w:pPr>
        <w:rPr>
          <w:rFonts w:ascii="Calibri" w:eastAsia="Calibri" w:hAnsi="Calibri" w:cs="Calibri"/>
        </w:rPr>
      </w:pPr>
      <w:r>
        <w:rPr>
          <w:rFonts w:ascii="Calibri" w:eastAsia="Calibri" w:hAnsi="Calibri" w:cs="Calibri"/>
          <w:b/>
          <w:sz w:val="30"/>
          <w:szCs w:val="30"/>
        </w:rPr>
        <w:lastRenderedPageBreak/>
        <w:t xml:space="preserve">Rights Respecting School  </w:t>
      </w:r>
      <w:r>
        <w:rPr>
          <w:rFonts w:ascii="Calibri" w:eastAsia="Calibri" w:hAnsi="Calibri" w:cs="Calibri"/>
          <w:sz w:val="30"/>
          <w:szCs w:val="30"/>
        </w:rPr>
        <w:t xml:space="preserve">   </w:t>
      </w:r>
      <w:r>
        <w:rPr>
          <w:rFonts w:ascii="Calibri" w:eastAsia="Calibri" w:hAnsi="Calibri" w:cs="Calibri"/>
          <w:sz w:val="24"/>
          <w:szCs w:val="24"/>
        </w:rPr>
        <w:t xml:space="preserve">                                                                        </w:t>
      </w:r>
      <w:r>
        <w:rPr>
          <w:rFonts w:ascii="Calibri" w:eastAsia="Calibri" w:hAnsi="Calibri" w:cs="Calibri"/>
          <w:noProof/>
        </w:rPr>
        <w:drawing>
          <wp:inline distT="114300" distB="114300" distL="114300" distR="114300">
            <wp:extent cx="1195388" cy="1073565"/>
            <wp:effectExtent l="0" t="0" r="0" b="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1195388" cy="1073565"/>
                    </a:xfrm>
                    <a:prstGeom prst="rect">
                      <a:avLst/>
                    </a:prstGeom>
                    <a:ln/>
                  </pic:spPr>
                </pic:pic>
              </a:graphicData>
            </a:graphic>
          </wp:inline>
        </w:drawing>
      </w:r>
    </w:p>
    <w:p>
      <w:pPr>
        <w:rPr>
          <w:rFonts w:ascii="Calibri" w:eastAsia="Calibri" w:hAnsi="Calibri" w:cs="Calibri"/>
        </w:rPr>
      </w:pPr>
    </w:p>
    <w:p>
      <w:pPr>
        <w:rPr>
          <w:rFonts w:ascii="Calibri" w:eastAsia="Calibri" w:hAnsi="Calibri" w:cs="Calibri"/>
        </w:rPr>
      </w:pPr>
    </w:p>
    <w:p>
      <w:pPr>
        <w:pStyle w:val="Heading3"/>
        <w:keepNext w:val="0"/>
        <w:keepLines w:val="0"/>
        <w:shd w:val="clear" w:color="auto" w:fill="FFFFFF"/>
        <w:spacing w:before="0" w:after="0" w:line="295" w:lineRule="auto"/>
        <w:rPr>
          <w:rFonts w:ascii="Calibri" w:eastAsia="Calibri" w:hAnsi="Calibri" w:cs="Calibri"/>
          <w:b/>
          <w:color w:val="000000"/>
          <w:sz w:val="24"/>
          <w:szCs w:val="24"/>
        </w:rPr>
      </w:pPr>
      <w:bookmarkStart w:id="2" w:name="_l42hu377l83w" w:colFirst="0" w:colLast="0"/>
      <w:bookmarkEnd w:id="2"/>
      <w:r>
        <w:rPr>
          <w:rFonts w:ascii="Calibri" w:eastAsia="Calibri" w:hAnsi="Calibri" w:cs="Calibri"/>
          <w:b/>
          <w:color w:val="000000"/>
          <w:sz w:val="24"/>
          <w:szCs w:val="24"/>
        </w:rPr>
        <w:t>What is UNICEF's Rights Respecting Schools?</w:t>
      </w:r>
    </w:p>
    <w:p>
      <w:pPr>
        <w:jc w:val="center"/>
        <w:rPr>
          <w:b/>
          <w:sz w:val="39"/>
          <w:szCs w:val="39"/>
        </w:rPr>
      </w:pPr>
      <w:r>
        <w:rPr>
          <w:b/>
          <w:noProof/>
          <w:sz w:val="39"/>
          <w:szCs w:val="39"/>
        </w:rPr>
        <w:drawing>
          <wp:inline distT="114300" distB="114300" distL="114300" distR="114300">
            <wp:extent cx="4595813" cy="3446859"/>
            <wp:effectExtent l="0" t="0" r="0" b="0"/>
            <wp:docPr id="9" name="image5.jpg" descr="IMG_8771"/>
            <wp:cNvGraphicFramePr/>
            <a:graphic xmlns:a="http://schemas.openxmlformats.org/drawingml/2006/main">
              <a:graphicData uri="http://schemas.openxmlformats.org/drawingml/2006/picture">
                <pic:pic xmlns:pic="http://schemas.openxmlformats.org/drawingml/2006/picture">
                  <pic:nvPicPr>
                    <pic:cNvPr id="0" name="image5.jpg" descr="IMG_8771"/>
                    <pic:cNvPicPr preferRelativeResize="0"/>
                  </pic:nvPicPr>
                  <pic:blipFill>
                    <a:blip r:embed="rId13"/>
                    <a:srcRect/>
                    <a:stretch>
                      <a:fillRect/>
                    </a:stretch>
                  </pic:blipFill>
                  <pic:spPr>
                    <a:xfrm>
                      <a:off x="0" y="0"/>
                      <a:ext cx="4595813" cy="3446859"/>
                    </a:xfrm>
                    <a:prstGeom prst="rect">
                      <a:avLst/>
                    </a:prstGeom>
                    <a:ln/>
                  </pic:spPr>
                </pic:pic>
              </a:graphicData>
            </a:graphic>
          </wp:inline>
        </w:drawing>
      </w:r>
    </w:p>
    <w:p>
      <w:pPr>
        <w:shd w:val="clear" w:color="auto" w:fill="FFFFFF"/>
        <w:spacing w:after="220"/>
        <w:rPr>
          <w:rFonts w:ascii="Calibri" w:eastAsia="Calibri" w:hAnsi="Calibri" w:cs="Calibri"/>
          <w:color w:val="444444"/>
          <w:sz w:val="24"/>
          <w:szCs w:val="24"/>
        </w:rPr>
      </w:pPr>
    </w:p>
    <w:p>
      <w:pPr>
        <w:shd w:val="clear" w:color="auto" w:fill="FFFFFF"/>
        <w:spacing w:after="220"/>
        <w:rPr>
          <w:rFonts w:ascii="Calibri" w:eastAsia="Calibri" w:hAnsi="Calibri" w:cs="Calibri"/>
          <w:color w:val="444444"/>
          <w:sz w:val="24"/>
          <w:szCs w:val="24"/>
        </w:rPr>
      </w:pPr>
      <w:r>
        <w:rPr>
          <w:rFonts w:ascii="Calibri" w:eastAsia="Calibri" w:hAnsi="Calibri" w:cs="Calibri"/>
          <w:color w:val="444444"/>
          <w:sz w:val="24"/>
          <w:szCs w:val="24"/>
        </w:rPr>
        <w:t>We are committed to placing the UN Convention on the Rights of the Child at the heart of our core values and ethos; believing children’s participation is integral to all aspects of school life. This results in empowered and self-confident children who can advocate for the rights of children everywhere.</w:t>
      </w:r>
    </w:p>
    <w:p>
      <w:pPr>
        <w:shd w:val="clear" w:color="auto" w:fill="FFFFFF"/>
        <w:spacing w:before="260" w:after="220"/>
        <w:rPr>
          <w:rFonts w:ascii="Calibri" w:eastAsia="Calibri" w:hAnsi="Calibri" w:cs="Calibri"/>
          <w:color w:val="444444"/>
          <w:sz w:val="24"/>
          <w:szCs w:val="24"/>
        </w:rPr>
      </w:pPr>
      <w:r>
        <w:rPr>
          <w:rFonts w:ascii="Calibri" w:eastAsia="Calibri" w:hAnsi="Calibri" w:cs="Calibri"/>
          <w:color w:val="444444"/>
          <w:sz w:val="24"/>
          <w:szCs w:val="24"/>
        </w:rPr>
        <w:t>This ethos further fosters a sense of community, respect and responsibility. It encourages the children to be active and informed citizens, who look to develop a positive future for all; campaigning and raising awareness.</w:t>
      </w:r>
    </w:p>
    <w:p>
      <w:pPr>
        <w:shd w:val="clear" w:color="auto" w:fill="FFFFFF"/>
        <w:spacing w:before="260" w:after="220"/>
        <w:rPr>
          <w:rFonts w:ascii="Calibri" w:eastAsia="Calibri" w:hAnsi="Calibri" w:cs="Calibri"/>
          <w:color w:val="444444"/>
          <w:sz w:val="24"/>
          <w:szCs w:val="24"/>
        </w:rPr>
      </w:pPr>
      <w:r>
        <w:rPr>
          <w:rFonts w:ascii="Calibri" w:eastAsia="Calibri" w:hAnsi="Calibri" w:cs="Calibri"/>
          <w:color w:val="444444"/>
          <w:sz w:val="24"/>
          <w:szCs w:val="24"/>
        </w:rPr>
        <w:t>The children’s experiences at Gwyn Jones Primary ensure the children know that they have the Rights of the Child and that these rights are inalienable. They also understand responsibilities they have as members of our local and global society.</w:t>
      </w:r>
    </w:p>
    <w:p>
      <w:pPr>
        <w:shd w:val="clear" w:color="auto" w:fill="FFFFFF"/>
        <w:spacing w:before="260" w:after="220"/>
        <w:rPr>
          <w:rFonts w:ascii="Calibri" w:eastAsia="Calibri" w:hAnsi="Calibri" w:cs="Calibri"/>
          <w:b/>
          <w:sz w:val="24"/>
          <w:szCs w:val="24"/>
        </w:rPr>
      </w:pPr>
      <w:r>
        <w:rPr>
          <w:rFonts w:ascii="Calibri" w:eastAsia="Calibri" w:hAnsi="Calibri" w:cs="Calibri"/>
          <w:b/>
          <w:sz w:val="24"/>
          <w:szCs w:val="24"/>
        </w:rPr>
        <w:lastRenderedPageBreak/>
        <w:t>How to Apply</w:t>
      </w:r>
    </w:p>
    <w:p>
      <w:pPr>
        <w:rPr>
          <w:rFonts w:ascii="Calibri" w:eastAsia="Calibri" w:hAnsi="Calibri" w:cs="Calibri"/>
          <w:sz w:val="24"/>
          <w:szCs w:val="24"/>
        </w:rPr>
      </w:pPr>
      <w:r>
        <w:rPr>
          <w:rFonts w:ascii="Calibri" w:eastAsia="Calibri" w:hAnsi="Calibri" w:cs="Calibri"/>
          <w:sz w:val="24"/>
          <w:szCs w:val="24"/>
        </w:rPr>
        <w:t xml:space="preserve">Should you wish to apply for the post, please complete an application form and include a personal statement, which clearly demonstrates your suitability for this role. Please send your completed applications to </w:t>
      </w:r>
      <w:hyperlink r:id="rId14">
        <w:r>
          <w:rPr>
            <w:rFonts w:ascii="Calibri" w:eastAsia="Calibri" w:hAnsi="Calibri" w:cs="Calibri"/>
            <w:color w:val="1155CC"/>
            <w:sz w:val="24"/>
            <w:szCs w:val="24"/>
            <w:u w:val="single"/>
          </w:rPr>
          <w:t>HR@gwynjones.waltham.sch.uk</w:t>
        </w:r>
      </w:hyperlink>
      <w:r>
        <w:rPr>
          <w:rFonts w:ascii="Calibri" w:eastAsia="Calibri" w:hAnsi="Calibri" w:cs="Calibri"/>
          <w:sz w:val="24"/>
          <w:szCs w:val="24"/>
        </w:rPr>
        <w:t xml:space="preserve"> </w:t>
      </w:r>
    </w:p>
    <w:p>
      <w:pPr>
        <w:rPr>
          <w:rFonts w:ascii="Calibri" w:eastAsia="Calibri" w:hAnsi="Calibri" w:cs="Calibri"/>
          <w:sz w:val="24"/>
          <w:szCs w:val="24"/>
        </w:rPr>
      </w:pPr>
    </w:p>
    <w:p>
      <w:pPr>
        <w:rPr>
          <w:rFonts w:ascii="Calibri" w:eastAsia="Calibri" w:hAnsi="Calibri" w:cs="Calibri"/>
          <w:b/>
          <w:sz w:val="24"/>
          <w:szCs w:val="24"/>
        </w:rPr>
      </w:pPr>
      <w:r>
        <w:rPr>
          <w:rFonts w:ascii="Calibri" w:eastAsia="Calibri" w:hAnsi="Calibri" w:cs="Calibri"/>
          <w:b/>
          <w:sz w:val="24"/>
          <w:szCs w:val="24"/>
        </w:rPr>
        <w:t>Closing Date</w:t>
      </w:r>
    </w:p>
    <w:p>
      <w:pPr>
        <w:rPr>
          <w:rFonts w:ascii="Calibri" w:eastAsia="Calibri" w:hAnsi="Calibri" w:cs="Calibri"/>
          <w:sz w:val="24"/>
          <w:szCs w:val="24"/>
        </w:rPr>
      </w:pPr>
      <w:r>
        <w:rPr>
          <w:rFonts w:ascii="Calibri" w:eastAsia="Calibri" w:hAnsi="Calibri" w:cs="Calibri"/>
          <w:sz w:val="24"/>
          <w:szCs w:val="24"/>
        </w:rPr>
        <w:t>Please ensure your application arrives by Monday 15</w:t>
      </w:r>
      <w:r>
        <w:rPr>
          <w:rFonts w:ascii="Calibri" w:eastAsia="Calibri" w:hAnsi="Calibri" w:cs="Calibri"/>
          <w:sz w:val="24"/>
          <w:szCs w:val="24"/>
          <w:vertAlign w:val="superscript"/>
        </w:rPr>
        <w:t>th</w:t>
      </w:r>
      <w:r>
        <w:rPr>
          <w:rFonts w:ascii="Calibri" w:eastAsia="Calibri" w:hAnsi="Calibri" w:cs="Calibri"/>
          <w:sz w:val="24"/>
          <w:szCs w:val="24"/>
        </w:rPr>
        <w:t xml:space="preserve"> July 2024</w:t>
      </w:r>
      <w:r>
        <w:rPr>
          <w:rFonts w:ascii="Calibri" w:hAnsi="Calibri" w:cs="Calibri"/>
          <w:szCs w:val="24"/>
        </w:rPr>
        <w:t xml:space="preserve"> at 10am.</w:t>
      </w:r>
    </w:p>
    <w:p>
      <w:pPr>
        <w:widowControl w:val="0"/>
        <w:rPr>
          <w:rFonts w:asciiTheme="minorHAnsi" w:eastAsia="Times New Roman" w:hAnsiTheme="minorHAnsi" w:cs="Times New Roman"/>
          <w:sz w:val="26"/>
          <w:szCs w:val="26"/>
        </w:rPr>
      </w:pPr>
    </w:p>
    <w:p>
      <w:pPr>
        <w:rPr>
          <w:rFonts w:ascii="Calibri" w:eastAsia="Calibri" w:hAnsi="Calibri" w:cs="Calibri"/>
          <w:b/>
          <w:sz w:val="24"/>
          <w:szCs w:val="24"/>
        </w:rPr>
      </w:pPr>
      <w:r>
        <w:rPr>
          <w:rFonts w:ascii="Calibri" w:eastAsia="Calibri" w:hAnsi="Calibri" w:cs="Calibri"/>
          <w:b/>
          <w:sz w:val="24"/>
          <w:szCs w:val="24"/>
        </w:rPr>
        <w:t xml:space="preserve">Shortlisting </w:t>
      </w:r>
    </w:p>
    <w:p>
      <w:pPr>
        <w:rPr>
          <w:rFonts w:ascii="Calibri" w:eastAsia="Calibri" w:hAnsi="Calibri" w:cs="Calibri"/>
          <w:sz w:val="24"/>
          <w:szCs w:val="24"/>
        </w:rPr>
      </w:pPr>
      <w:r>
        <w:rPr>
          <w:rFonts w:ascii="Calibri" w:eastAsia="Calibri" w:hAnsi="Calibri" w:cs="Calibri"/>
          <w:sz w:val="24"/>
          <w:szCs w:val="24"/>
        </w:rPr>
        <w:t>Shortlisting will take place on</w:t>
      </w:r>
      <w:bookmarkStart w:id="3" w:name="_Hlk99368954"/>
      <w:r>
        <w:rPr>
          <w:rFonts w:ascii="Calibri" w:eastAsia="Calibri" w:hAnsi="Calibri" w:cs="Calibri"/>
          <w:sz w:val="24"/>
          <w:szCs w:val="24"/>
        </w:rPr>
        <w:t xml:space="preserve"> </w:t>
      </w:r>
      <w:bookmarkEnd w:id="3"/>
      <w:r>
        <w:rPr>
          <w:rFonts w:ascii="Calibri" w:eastAsia="Calibri" w:hAnsi="Calibri" w:cs="Calibri"/>
          <w:sz w:val="24"/>
          <w:szCs w:val="24"/>
        </w:rPr>
        <w:t>Monday 15</w:t>
      </w:r>
      <w:r>
        <w:rPr>
          <w:rFonts w:ascii="Calibri" w:eastAsia="Calibri" w:hAnsi="Calibri" w:cs="Calibri"/>
          <w:sz w:val="24"/>
          <w:szCs w:val="24"/>
          <w:vertAlign w:val="superscript"/>
        </w:rPr>
        <w:t>th</w:t>
      </w:r>
      <w:r>
        <w:rPr>
          <w:rFonts w:ascii="Calibri" w:eastAsia="Calibri" w:hAnsi="Calibri" w:cs="Calibri"/>
          <w:sz w:val="24"/>
          <w:szCs w:val="24"/>
        </w:rPr>
        <w:t xml:space="preserve"> July </w:t>
      </w:r>
      <w:proofErr w:type="gramStart"/>
      <w:r>
        <w:rPr>
          <w:rFonts w:ascii="Calibri" w:eastAsia="Calibri" w:hAnsi="Calibri" w:cs="Calibri"/>
          <w:sz w:val="24"/>
          <w:szCs w:val="24"/>
        </w:rPr>
        <w:t>2024  if</w:t>
      </w:r>
      <w:proofErr w:type="gramEnd"/>
      <w:r>
        <w:rPr>
          <w:rFonts w:ascii="Calibri" w:eastAsia="Calibri" w:hAnsi="Calibri" w:cs="Calibri"/>
          <w:sz w:val="24"/>
          <w:szCs w:val="24"/>
        </w:rPr>
        <w:t xml:space="preserve"> you have not heard from us by Tuesday 16</w:t>
      </w:r>
      <w:r>
        <w:rPr>
          <w:rFonts w:ascii="Calibri" w:eastAsia="Calibri" w:hAnsi="Calibri" w:cs="Calibri"/>
          <w:sz w:val="24"/>
          <w:szCs w:val="24"/>
          <w:vertAlign w:val="superscript"/>
        </w:rPr>
        <w:t>th</w:t>
      </w:r>
      <w:r>
        <w:rPr>
          <w:rFonts w:ascii="Calibri" w:eastAsia="Calibri" w:hAnsi="Calibri" w:cs="Calibri"/>
          <w:sz w:val="24"/>
          <w:szCs w:val="24"/>
        </w:rPr>
        <w:t xml:space="preserve"> July please assume that unfortunately, on this occasion, your application has not been successful.</w:t>
      </w:r>
    </w:p>
    <w:p>
      <w:pPr>
        <w:rPr>
          <w:rFonts w:ascii="Calibri" w:eastAsia="Calibri" w:hAnsi="Calibri" w:cs="Calibri"/>
          <w:sz w:val="24"/>
          <w:szCs w:val="24"/>
        </w:rPr>
      </w:pPr>
    </w:p>
    <w:p>
      <w:pPr>
        <w:rPr>
          <w:rFonts w:ascii="Calibri" w:eastAsia="Calibri" w:hAnsi="Calibri" w:cs="Calibri"/>
          <w:b/>
          <w:sz w:val="24"/>
          <w:szCs w:val="24"/>
        </w:rPr>
      </w:pPr>
      <w:r>
        <w:rPr>
          <w:rFonts w:ascii="Calibri" w:eastAsia="Calibri" w:hAnsi="Calibri" w:cs="Calibri"/>
          <w:b/>
          <w:sz w:val="24"/>
          <w:szCs w:val="24"/>
        </w:rPr>
        <w:t>Interview</w:t>
      </w:r>
    </w:p>
    <w:p>
      <w:pPr>
        <w:rPr>
          <w:rFonts w:ascii="Calibri" w:hAnsi="Calibri" w:cs="Calibri"/>
          <w:szCs w:val="24"/>
        </w:rPr>
      </w:pPr>
      <w:r>
        <w:rPr>
          <w:rFonts w:ascii="Calibri" w:eastAsia="Calibri" w:hAnsi="Calibri" w:cs="Calibri"/>
          <w:sz w:val="24"/>
          <w:szCs w:val="24"/>
        </w:rPr>
        <w:t>Interviews will take place on Thursday 18</w:t>
      </w:r>
      <w:r>
        <w:rPr>
          <w:rFonts w:ascii="Calibri" w:eastAsia="Calibri" w:hAnsi="Calibri" w:cs="Calibri"/>
          <w:sz w:val="24"/>
          <w:szCs w:val="24"/>
          <w:vertAlign w:val="superscript"/>
        </w:rPr>
        <w:t>th</w:t>
      </w:r>
      <w:r>
        <w:rPr>
          <w:rFonts w:ascii="Calibri" w:eastAsia="Calibri" w:hAnsi="Calibri" w:cs="Calibri"/>
          <w:sz w:val="24"/>
          <w:szCs w:val="24"/>
        </w:rPr>
        <w:t xml:space="preserve"> July 2024</w:t>
      </w:r>
      <w:bookmarkStart w:id="4" w:name="_GoBack"/>
      <w:bookmarkEnd w:id="4"/>
      <w:r>
        <w:rPr>
          <w:rFonts w:ascii="Calibri" w:hAnsi="Calibri" w:cs="Calibri"/>
          <w:szCs w:val="24"/>
        </w:rPr>
        <w:t xml:space="preserve">. </w:t>
      </w:r>
      <w:r>
        <w:rPr>
          <w:rFonts w:ascii="Calibri" w:eastAsia="Calibri" w:hAnsi="Calibri" w:cs="Calibri"/>
          <w:color w:val="222222"/>
          <w:sz w:val="24"/>
          <w:szCs w:val="24"/>
        </w:rPr>
        <w:t>Applicants called for interview are kindly requested to contact their referees so that references are received ahead of the interview dates.</w:t>
      </w:r>
    </w:p>
    <w:p>
      <w:pPr>
        <w:rPr>
          <w:rFonts w:ascii="Calibri" w:eastAsia="Calibri" w:hAnsi="Calibri" w:cs="Calibri"/>
          <w:sz w:val="24"/>
          <w:szCs w:val="24"/>
        </w:rPr>
      </w:pPr>
    </w:p>
    <w:p>
      <w:pPr>
        <w:rPr>
          <w:rFonts w:ascii="Calibri" w:eastAsia="Calibri" w:hAnsi="Calibri" w:cs="Calibri"/>
          <w:b/>
          <w:sz w:val="24"/>
          <w:szCs w:val="24"/>
        </w:rPr>
      </w:pPr>
      <w:r>
        <w:rPr>
          <w:rFonts w:ascii="Calibri" w:eastAsia="Calibri" w:hAnsi="Calibri" w:cs="Calibri"/>
          <w:b/>
          <w:sz w:val="24"/>
          <w:szCs w:val="24"/>
        </w:rPr>
        <w:t>Safeguarding</w:t>
      </w:r>
    </w:p>
    <w:p>
      <w:pPr>
        <w:shd w:val="clear" w:color="auto" w:fill="FFFFFF"/>
        <w:spacing w:after="160"/>
        <w:rPr>
          <w:rFonts w:ascii="Calibri" w:eastAsia="Calibri" w:hAnsi="Calibri" w:cs="Calibri"/>
          <w:color w:val="222222"/>
          <w:sz w:val="24"/>
          <w:szCs w:val="24"/>
        </w:rPr>
      </w:pPr>
      <w:r>
        <w:rPr>
          <w:rFonts w:ascii="Calibri" w:eastAsia="Calibri" w:hAnsi="Calibri" w:cs="Calibri"/>
          <w:color w:val="222222"/>
          <w:sz w:val="24"/>
          <w:szCs w:val="24"/>
        </w:rPr>
        <w:t>Applicants called for interview are kindly requested to contact their referees so that references are received ahead of the interview dates.</w:t>
      </w:r>
    </w:p>
    <w:p>
      <w:pPr>
        <w:shd w:val="clear" w:color="auto" w:fill="FFFFFF"/>
        <w:spacing w:after="160"/>
        <w:rPr>
          <w:rFonts w:ascii="Calibri" w:eastAsia="Calibri" w:hAnsi="Calibri" w:cs="Calibri"/>
          <w:color w:val="222222"/>
          <w:sz w:val="24"/>
          <w:szCs w:val="24"/>
        </w:rPr>
      </w:pPr>
      <w:r>
        <w:rPr>
          <w:rFonts w:ascii="Calibri" w:eastAsia="Calibri" w:hAnsi="Calibri" w:cs="Calibri"/>
          <w:color w:val="222222"/>
          <w:sz w:val="24"/>
          <w:szCs w:val="24"/>
        </w:rPr>
        <w:t>Gwyn Jones Primary School is committed to safeguarding and promoting the welfare of children and young people and expects all staff and volunteers to share this commitment. The school follows safer recruitment practices and the successful applicants will be required to apply for an Enhanced Disclosure and Barring Service check. A copy of our Safeguarding Policy is available to view on our website</w:t>
      </w:r>
    </w:p>
    <w:p>
      <w:pPr>
        <w:rPr>
          <w:rFonts w:ascii="Calibri" w:eastAsia="Calibri" w:hAnsi="Calibri" w:cs="Calibri"/>
          <w:b/>
          <w:sz w:val="24"/>
          <w:szCs w:val="24"/>
        </w:rPr>
      </w:pPr>
      <w:r>
        <w:rPr>
          <w:rFonts w:ascii="Calibri" w:eastAsia="Calibri" w:hAnsi="Calibri" w:cs="Calibri"/>
          <w:b/>
          <w:sz w:val="24"/>
          <w:szCs w:val="24"/>
        </w:rPr>
        <w:t>Location</w:t>
      </w:r>
    </w:p>
    <w:p>
      <w:pPr>
        <w:jc w:val="center"/>
        <w:rPr>
          <w:rFonts w:ascii="Calibri" w:eastAsia="Calibri" w:hAnsi="Calibri" w:cs="Calibri"/>
        </w:rPr>
      </w:pPr>
      <w:r>
        <w:rPr>
          <w:rFonts w:ascii="Calibri" w:eastAsia="Calibri" w:hAnsi="Calibri" w:cs="Calibri"/>
          <w:noProof/>
        </w:rPr>
        <w:drawing>
          <wp:inline distT="114300" distB="114300" distL="114300" distR="114300">
            <wp:extent cx="3300047" cy="1729740"/>
            <wp:effectExtent l="0" t="0" r="0" b="3810"/>
            <wp:docPr id="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5"/>
                    <a:srcRect/>
                    <a:stretch>
                      <a:fillRect/>
                    </a:stretch>
                  </pic:blipFill>
                  <pic:spPr>
                    <a:xfrm>
                      <a:off x="0" y="0"/>
                      <a:ext cx="3302174" cy="1730855"/>
                    </a:xfrm>
                    <a:prstGeom prst="rect">
                      <a:avLst/>
                    </a:prstGeom>
                    <a:ln/>
                  </pic:spPr>
                </pic:pic>
              </a:graphicData>
            </a:graphic>
          </wp:inline>
        </w:drawing>
      </w:r>
    </w:p>
    <w:p/>
    <w:p>
      <w:pPr>
        <w:pStyle w:val="NormalWeb"/>
        <w:spacing w:before="0" w:beforeAutospacing="0" w:after="0" w:afterAutospacing="0"/>
        <w:jc w:val="center"/>
        <w:rPr>
          <w:rFonts w:ascii="Arial" w:hAnsi="Arial" w:cs="Arial"/>
          <w:color w:val="000000"/>
          <w:sz w:val="22"/>
          <w:szCs w:val="22"/>
        </w:rPr>
      </w:pPr>
      <w:r>
        <w:rPr>
          <w:rFonts w:ascii="Arial" w:hAnsi="Arial" w:cs="Arial"/>
          <w:color w:val="000000"/>
          <w:sz w:val="22"/>
          <w:szCs w:val="22"/>
        </w:rPr>
        <w:lastRenderedPageBreak/>
        <w:t>Job Description</w:t>
      </w:r>
    </w:p>
    <w:p>
      <w:pPr>
        <w:pStyle w:val="NormalWeb"/>
        <w:spacing w:before="0" w:beforeAutospacing="0" w:after="0" w:afterAutospacing="0"/>
        <w:jc w:val="center"/>
      </w:pPr>
    </w:p>
    <w:tbl>
      <w:tblPr>
        <w:tblW w:w="8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8"/>
        <w:gridCol w:w="6236"/>
      </w:tblGrid>
      <w:tr>
        <w:trPr>
          <w:trHeight w:val="740"/>
          <w:jc w:val="center"/>
        </w:trPr>
        <w:tc>
          <w:tcPr>
            <w:tcW w:w="2748" w:type="dxa"/>
            <w:vAlign w:val="center"/>
          </w:tcPr>
          <w:p>
            <w:pPr>
              <w:jc w:val="both"/>
              <w:rPr>
                <w:rFonts w:ascii="Tahoma" w:hAnsi="Tahoma" w:cs="Tahoma"/>
                <w:b/>
                <w:szCs w:val="23"/>
              </w:rPr>
            </w:pPr>
            <w:r>
              <w:rPr>
                <w:rFonts w:ascii="Tahoma" w:hAnsi="Tahoma" w:cs="Tahoma"/>
                <w:b/>
                <w:szCs w:val="23"/>
              </w:rPr>
              <w:t>School Name:</w:t>
            </w:r>
          </w:p>
        </w:tc>
        <w:tc>
          <w:tcPr>
            <w:tcW w:w="6236" w:type="dxa"/>
            <w:vAlign w:val="center"/>
          </w:tcPr>
          <w:p>
            <w:pPr>
              <w:jc w:val="both"/>
              <w:rPr>
                <w:rFonts w:ascii="Tahoma" w:hAnsi="Tahoma" w:cs="Tahoma"/>
                <w:szCs w:val="23"/>
              </w:rPr>
            </w:pPr>
            <w:r>
              <w:rPr>
                <w:rFonts w:ascii="Tahoma" w:hAnsi="Tahoma" w:cs="Tahoma"/>
                <w:szCs w:val="23"/>
              </w:rPr>
              <w:t>Gwyn Jones Primary School</w:t>
            </w:r>
          </w:p>
        </w:tc>
      </w:tr>
      <w:tr>
        <w:trPr>
          <w:trHeight w:val="704"/>
          <w:jc w:val="center"/>
        </w:trPr>
        <w:tc>
          <w:tcPr>
            <w:tcW w:w="2748" w:type="dxa"/>
            <w:vAlign w:val="center"/>
          </w:tcPr>
          <w:p>
            <w:pPr>
              <w:jc w:val="both"/>
              <w:rPr>
                <w:rFonts w:ascii="Tahoma" w:hAnsi="Tahoma" w:cs="Tahoma"/>
                <w:b/>
                <w:szCs w:val="23"/>
              </w:rPr>
            </w:pPr>
            <w:r>
              <w:rPr>
                <w:rFonts w:ascii="Tahoma" w:hAnsi="Tahoma" w:cs="Tahoma"/>
                <w:b/>
                <w:szCs w:val="23"/>
              </w:rPr>
              <w:t>Job Title:</w:t>
            </w:r>
          </w:p>
        </w:tc>
        <w:tc>
          <w:tcPr>
            <w:tcW w:w="6236" w:type="dxa"/>
            <w:vAlign w:val="center"/>
          </w:tcPr>
          <w:p>
            <w:pPr>
              <w:jc w:val="both"/>
              <w:rPr>
                <w:rFonts w:ascii="Tahoma" w:hAnsi="Tahoma" w:cs="Tahoma"/>
                <w:szCs w:val="23"/>
              </w:rPr>
            </w:pPr>
            <w:r>
              <w:rPr>
                <w:rFonts w:ascii="Tahoma" w:hAnsi="Tahoma" w:cs="Tahoma"/>
              </w:rPr>
              <w:t>HLTA - Teaching Assistant Level 4</w:t>
            </w:r>
          </w:p>
        </w:tc>
      </w:tr>
      <w:tr>
        <w:trPr>
          <w:trHeight w:val="851"/>
          <w:jc w:val="center"/>
        </w:trPr>
        <w:tc>
          <w:tcPr>
            <w:tcW w:w="2748" w:type="dxa"/>
            <w:vAlign w:val="center"/>
          </w:tcPr>
          <w:p>
            <w:pPr>
              <w:jc w:val="both"/>
              <w:rPr>
                <w:rFonts w:ascii="Tahoma" w:hAnsi="Tahoma" w:cs="Tahoma"/>
                <w:b/>
                <w:szCs w:val="23"/>
              </w:rPr>
            </w:pPr>
            <w:r>
              <w:rPr>
                <w:rFonts w:ascii="Tahoma" w:hAnsi="Tahoma" w:cs="Tahoma"/>
                <w:b/>
                <w:szCs w:val="23"/>
              </w:rPr>
              <w:t>Reports To:</w:t>
            </w:r>
          </w:p>
        </w:tc>
        <w:tc>
          <w:tcPr>
            <w:tcW w:w="6236" w:type="dxa"/>
            <w:vAlign w:val="center"/>
          </w:tcPr>
          <w:p>
            <w:pPr>
              <w:jc w:val="both"/>
              <w:rPr>
                <w:rFonts w:ascii="Tahoma" w:hAnsi="Tahoma" w:cs="Tahoma"/>
                <w:szCs w:val="23"/>
              </w:rPr>
            </w:pPr>
            <w:r>
              <w:rPr>
                <w:rFonts w:ascii="Tahoma" w:hAnsi="Tahoma" w:cs="Tahoma"/>
                <w:szCs w:val="23"/>
              </w:rPr>
              <w:t>Headteacher/ Deputy Headteacher</w:t>
            </w:r>
          </w:p>
        </w:tc>
      </w:tr>
      <w:tr>
        <w:trPr>
          <w:jc w:val="center"/>
        </w:trPr>
        <w:tc>
          <w:tcPr>
            <w:tcW w:w="8984" w:type="dxa"/>
            <w:gridSpan w:val="2"/>
          </w:tcPr>
          <w:p>
            <w:pPr>
              <w:jc w:val="both"/>
              <w:rPr>
                <w:rFonts w:ascii="Tahoma" w:hAnsi="Tahoma" w:cs="Tahoma"/>
                <w:b/>
                <w:szCs w:val="23"/>
              </w:rPr>
            </w:pPr>
            <w:r>
              <w:rPr>
                <w:rFonts w:ascii="Tahoma" w:hAnsi="Tahoma" w:cs="Tahoma"/>
                <w:b/>
                <w:szCs w:val="23"/>
              </w:rPr>
              <w:t>Role Summary:</w:t>
            </w:r>
          </w:p>
          <w:p>
            <w:pPr>
              <w:jc w:val="both"/>
              <w:rPr>
                <w:rFonts w:ascii="Tahoma" w:hAnsi="Tahoma" w:cs="Tahoma"/>
                <w:b/>
                <w:szCs w:val="23"/>
              </w:rPr>
            </w:pPr>
          </w:p>
          <w:p>
            <w:pPr>
              <w:numPr>
                <w:ilvl w:val="0"/>
                <w:numId w:val="33"/>
              </w:numPr>
              <w:spacing w:line="240" w:lineRule="auto"/>
              <w:jc w:val="both"/>
              <w:rPr>
                <w:rFonts w:ascii="Tahoma" w:hAnsi="Tahoma" w:cs="Tahoma"/>
              </w:rPr>
            </w:pPr>
            <w:r>
              <w:rPr>
                <w:rFonts w:ascii="Tahoma" w:hAnsi="Tahoma" w:cs="Tahoma"/>
              </w:rPr>
              <w:t xml:space="preserve">To complement the professional work of teachers by taking responsibility for agreed learning activities under an agreed system of supervision.  This may involve planning, preparing and delivering learning activities for individuals/groups or short term for whole classes and monitoring pupils and assessing, recording and reporting on </w:t>
            </w:r>
            <w:proofErr w:type="gramStart"/>
            <w:r>
              <w:rPr>
                <w:rFonts w:ascii="Tahoma" w:hAnsi="Tahoma" w:cs="Tahoma"/>
              </w:rPr>
              <w:t>pupils</w:t>
            </w:r>
            <w:proofErr w:type="gramEnd"/>
            <w:r>
              <w:rPr>
                <w:rFonts w:ascii="Tahoma" w:hAnsi="Tahoma" w:cs="Tahoma"/>
              </w:rPr>
              <w:t xml:space="preserve"> achievement, progress and development. </w:t>
            </w:r>
          </w:p>
          <w:p>
            <w:pPr>
              <w:jc w:val="both"/>
              <w:rPr>
                <w:rFonts w:ascii="Tahoma" w:hAnsi="Tahoma" w:cs="Tahoma"/>
              </w:rPr>
            </w:pPr>
          </w:p>
        </w:tc>
      </w:tr>
      <w:tr>
        <w:trPr>
          <w:jc w:val="center"/>
        </w:trPr>
        <w:tc>
          <w:tcPr>
            <w:tcW w:w="8984" w:type="dxa"/>
            <w:gridSpan w:val="2"/>
          </w:tcPr>
          <w:p>
            <w:pPr>
              <w:numPr>
                <w:ilvl w:val="0"/>
                <w:numId w:val="33"/>
              </w:numPr>
              <w:spacing w:line="240" w:lineRule="auto"/>
              <w:jc w:val="both"/>
              <w:rPr>
                <w:rFonts w:ascii="Tahoma" w:hAnsi="Tahoma" w:cs="Tahoma"/>
              </w:rPr>
            </w:pPr>
            <w:r>
              <w:rPr>
                <w:rFonts w:ascii="Tahoma" w:hAnsi="Tahoma" w:cs="Tahoma"/>
              </w:rPr>
              <w:t>Assess the needs of pupils and use detailed knowledge and specialist skills to support pupils’ learning.</w:t>
            </w:r>
          </w:p>
          <w:p>
            <w:pPr>
              <w:numPr>
                <w:ilvl w:val="0"/>
                <w:numId w:val="33"/>
              </w:numPr>
              <w:spacing w:line="240" w:lineRule="auto"/>
              <w:jc w:val="both"/>
              <w:rPr>
                <w:rFonts w:ascii="Tahoma" w:hAnsi="Tahoma" w:cs="Tahoma"/>
              </w:rPr>
            </w:pPr>
            <w:r>
              <w:rPr>
                <w:rFonts w:ascii="Tahoma" w:hAnsi="Tahoma" w:cs="Tahoma"/>
              </w:rPr>
              <w:t>Establish productive working relationships with pupils, acting as a role model and setting high expectations.</w:t>
            </w:r>
          </w:p>
          <w:p>
            <w:pPr>
              <w:numPr>
                <w:ilvl w:val="0"/>
                <w:numId w:val="33"/>
              </w:numPr>
              <w:spacing w:line="240" w:lineRule="auto"/>
              <w:jc w:val="both"/>
              <w:rPr>
                <w:rFonts w:ascii="Tahoma" w:hAnsi="Tahoma" w:cs="Tahoma"/>
              </w:rPr>
            </w:pPr>
            <w:r>
              <w:rPr>
                <w:rFonts w:ascii="Tahoma" w:hAnsi="Tahoma" w:cs="Tahoma"/>
              </w:rPr>
              <w:t>Develop and implement IEP’s.</w:t>
            </w:r>
          </w:p>
          <w:p>
            <w:pPr>
              <w:numPr>
                <w:ilvl w:val="0"/>
                <w:numId w:val="33"/>
              </w:numPr>
              <w:spacing w:line="240" w:lineRule="auto"/>
              <w:jc w:val="both"/>
              <w:rPr>
                <w:rFonts w:ascii="Tahoma" w:hAnsi="Tahoma" w:cs="Tahoma"/>
              </w:rPr>
            </w:pPr>
            <w:r>
              <w:rPr>
                <w:rFonts w:ascii="Tahoma" w:hAnsi="Tahoma" w:cs="Tahoma"/>
              </w:rPr>
              <w:t>Promote the inclusion and acceptance of all pupils within the classroom.</w:t>
            </w:r>
          </w:p>
          <w:p>
            <w:pPr>
              <w:numPr>
                <w:ilvl w:val="0"/>
                <w:numId w:val="33"/>
              </w:numPr>
              <w:spacing w:line="240" w:lineRule="auto"/>
              <w:jc w:val="both"/>
              <w:rPr>
                <w:rFonts w:ascii="Tahoma" w:hAnsi="Tahoma" w:cs="Tahoma"/>
              </w:rPr>
            </w:pPr>
            <w:r>
              <w:rPr>
                <w:rFonts w:ascii="Tahoma" w:hAnsi="Tahoma" w:cs="Tahoma"/>
              </w:rPr>
              <w:t xml:space="preserve">Support pupils consistently whilst </w:t>
            </w:r>
            <w:proofErr w:type="spellStart"/>
            <w:r>
              <w:rPr>
                <w:rFonts w:ascii="Tahoma" w:hAnsi="Tahoma" w:cs="Tahoma"/>
              </w:rPr>
              <w:t>recognising</w:t>
            </w:r>
            <w:proofErr w:type="spellEnd"/>
            <w:r>
              <w:rPr>
                <w:rFonts w:ascii="Tahoma" w:hAnsi="Tahoma" w:cs="Tahoma"/>
              </w:rPr>
              <w:t xml:space="preserve"> and responding to their individual needs. </w:t>
            </w:r>
          </w:p>
          <w:p>
            <w:pPr>
              <w:numPr>
                <w:ilvl w:val="0"/>
                <w:numId w:val="33"/>
              </w:numPr>
              <w:spacing w:line="240" w:lineRule="auto"/>
              <w:jc w:val="both"/>
              <w:rPr>
                <w:rFonts w:ascii="Tahoma" w:hAnsi="Tahoma" w:cs="Tahoma"/>
              </w:rPr>
            </w:pPr>
            <w:r>
              <w:rPr>
                <w:rFonts w:ascii="Tahoma" w:hAnsi="Tahoma" w:cs="Tahoma"/>
              </w:rPr>
              <w:t>Encourage pupils to interact and work co-operatively with others and engage all pupils in activities.</w:t>
            </w:r>
          </w:p>
          <w:p>
            <w:pPr>
              <w:numPr>
                <w:ilvl w:val="0"/>
                <w:numId w:val="33"/>
              </w:numPr>
              <w:spacing w:line="240" w:lineRule="auto"/>
              <w:jc w:val="both"/>
              <w:rPr>
                <w:rFonts w:ascii="Tahoma" w:hAnsi="Tahoma" w:cs="Tahoma"/>
              </w:rPr>
            </w:pPr>
            <w:r>
              <w:rPr>
                <w:rFonts w:ascii="Tahoma" w:hAnsi="Tahoma" w:cs="Tahoma"/>
              </w:rPr>
              <w:t xml:space="preserve">Promote independence and employ strategies to </w:t>
            </w:r>
            <w:proofErr w:type="spellStart"/>
            <w:r>
              <w:rPr>
                <w:rFonts w:ascii="Tahoma" w:hAnsi="Tahoma" w:cs="Tahoma"/>
              </w:rPr>
              <w:t>recognise</w:t>
            </w:r>
            <w:proofErr w:type="spellEnd"/>
            <w:r>
              <w:rPr>
                <w:rFonts w:ascii="Tahoma" w:hAnsi="Tahoma" w:cs="Tahoma"/>
              </w:rPr>
              <w:t xml:space="preserve"> and reward achievement of self-reliance.</w:t>
            </w:r>
          </w:p>
          <w:p>
            <w:pPr>
              <w:numPr>
                <w:ilvl w:val="0"/>
                <w:numId w:val="33"/>
              </w:numPr>
              <w:spacing w:line="240" w:lineRule="auto"/>
              <w:jc w:val="both"/>
              <w:rPr>
                <w:rFonts w:ascii="Tahoma" w:hAnsi="Tahoma" w:cs="Tahoma"/>
              </w:rPr>
            </w:pPr>
            <w:r>
              <w:rPr>
                <w:rFonts w:ascii="Tahoma" w:hAnsi="Tahoma" w:cs="Tahoma"/>
              </w:rPr>
              <w:t>Provide feedback to pupils in relation to progress and achievement.</w:t>
            </w:r>
          </w:p>
          <w:p>
            <w:pPr>
              <w:numPr>
                <w:ilvl w:val="0"/>
                <w:numId w:val="33"/>
              </w:numPr>
              <w:spacing w:line="240" w:lineRule="auto"/>
              <w:jc w:val="both"/>
              <w:rPr>
                <w:rFonts w:ascii="Tahoma" w:hAnsi="Tahoma" w:cs="Tahoma"/>
              </w:rPr>
            </w:pPr>
            <w:proofErr w:type="spellStart"/>
            <w:r>
              <w:rPr>
                <w:rFonts w:ascii="Tahoma" w:hAnsi="Tahoma" w:cs="Tahoma"/>
              </w:rPr>
              <w:t>Organise</w:t>
            </w:r>
            <w:proofErr w:type="spellEnd"/>
            <w:r>
              <w:rPr>
                <w:rFonts w:ascii="Tahoma" w:hAnsi="Tahoma" w:cs="Tahoma"/>
              </w:rPr>
              <w:t xml:space="preserve"> and manage appropriate learning environment and resources.</w:t>
            </w:r>
          </w:p>
          <w:p>
            <w:pPr>
              <w:numPr>
                <w:ilvl w:val="0"/>
                <w:numId w:val="33"/>
              </w:numPr>
              <w:spacing w:line="240" w:lineRule="auto"/>
              <w:jc w:val="both"/>
              <w:rPr>
                <w:rFonts w:ascii="Tahoma" w:hAnsi="Tahoma" w:cs="Tahoma"/>
              </w:rPr>
            </w:pPr>
            <w:r>
              <w:rPr>
                <w:rFonts w:ascii="Tahoma" w:hAnsi="Tahoma" w:cs="Tahoma"/>
              </w:rPr>
              <w:t xml:space="preserve">Within an agreed system of supervision, plan challenging teaching and learning objectives to evaluate and adjust lessons/work plans as appropriate. </w:t>
            </w:r>
          </w:p>
          <w:p>
            <w:pPr>
              <w:numPr>
                <w:ilvl w:val="0"/>
                <w:numId w:val="33"/>
              </w:numPr>
              <w:spacing w:line="240" w:lineRule="auto"/>
              <w:jc w:val="both"/>
              <w:rPr>
                <w:rFonts w:ascii="Tahoma" w:hAnsi="Tahoma" w:cs="Tahoma"/>
              </w:rPr>
            </w:pPr>
            <w:r>
              <w:rPr>
                <w:rFonts w:ascii="Tahoma" w:hAnsi="Tahoma" w:cs="Tahoma"/>
              </w:rPr>
              <w:t>Monitor and evaluate pupil responses to learning activities through a range of assessment and monitoring strategies against pre-determined learning objectives.</w:t>
            </w:r>
          </w:p>
          <w:p>
            <w:pPr>
              <w:numPr>
                <w:ilvl w:val="0"/>
                <w:numId w:val="33"/>
              </w:numPr>
              <w:spacing w:line="240" w:lineRule="auto"/>
              <w:jc w:val="both"/>
              <w:rPr>
                <w:rFonts w:ascii="Tahoma" w:hAnsi="Tahoma" w:cs="Tahoma"/>
              </w:rPr>
            </w:pPr>
            <w:r>
              <w:rPr>
                <w:rFonts w:ascii="Tahoma" w:hAnsi="Tahoma" w:cs="Tahoma"/>
              </w:rPr>
              <w:t>Provide objective and accurate feedback and reports as required on pupil achievement, progress and other matters, ensuring the availability of appropriate evidence.</w:t>
            </w:r>
          </w:p>
          <w:p>
            <w:pPr>
              <w:numPr>
                <w:ilvl w:val="0"/>
                <w:numId w:val="33"/>
              </w:numPr>
              <w:spacing w:line="240" w:lineRule="auto"/>
              <w:jc w:val="both"/>
              <w:rPr>
                <w:rFonts w:ascii="Tahoma" w:hAnsi="Tahoma" w:cs="Tahoma"/>
              </w:rPr>
            </w:pPr>
            <w:r>
              <w:rPr>
                <w:rFonts w:ascii="Tahoma" w:hAnsi="Tahoma" w:cs="Tahoma"/>
              </w:rPr>
              <w:t>Record progress and achievement in lessons/activities systematically and providing evidence of range and level of progress and attainment.</w:t>
            </w:r>
          </w:p>
          <w:p>
            <w:pPr>
              <w:numPr>
                <w:ilvl w:val="0"/>
                <w:numId w:val="33"/>
              </w:numPr>
              <w:spacing w:line="240" w:lineRule="auto"/>
              <w:jc w:val="both"/>
              <w:rPr>
                <w:rFonts w:ascii="Tahoma" w:hAnsi="Tahoma" w:cs="Tahoma"/>
              </w:rPr>
            </w:pPr>
            <w:r>
              <w:rPr>
                <w:rFonts w:ascii="Tahoma" w:hAnsi="Tahoma" w:cs="Tahoma"/>
              </w:rPr>
              <w:t xml:space="preserve">Work within an established discipline policy to anticipate and manage </w:t>
            </w:r>
            <w:proofErr w:type="spellStart"/>
            <w:r>
              <w:rPr>
                <w:rFonts w:ascii="Tahoma" w:hAnsi="Tahoma" w:cs="Tahoma"/>
              </w:rPr>
              <w:t>behaviour</w:t>
            </w:r>
            <w:proofErr w:type="spellEnd"/>
            <w:r>
              <w:rPr>
                <w:rFonts w:ascii="Tahoma" w:hAnsi="Tahoma" w:cs="Tahoma"/>
              </w:rPr>
              <w:t xml:space="preserve"> constructively, promoting </w:t>
            </w:r>
            <w:proofErr w:type="spellStart"/>
            <w:r>
              <w:rPr>
                <w:rFonts w:ascii="Tahoma" w:hAnsi="Tahoma" w:cs="Tahoma"/>
              </w:rPr>
              <w:t>self control</w:t>
            </w:r>
            <w:proofErr w:type="spellEnd"/>
            <w:r>
              <w:rPr>
                <w:rFonts w:ascii="Tahoma" w:hAnsi="Tahoma" w:cs="Tahoma"/>
              </w:rPr>
              <w:t xml:space="preserve"> and independence.</w:t>
            </w:r>
          </w:p>
          <w:p>
            <w:pPr>
              <w:numPr>
                <w:ilvl w:val="0"/>
                <w:numId w:val="33"/>
              </w:numPr>
              <w:spacing w:line="240" w:lineRule="auto"/>
              <w:jc w:val="both"/>
              <w:rPr>
                <w:rFonts w:ascii="Tahoma" w:hAnsi="Tahoma" w:cs="Tahoma"/>
              </w:rPr>
            </w:pPr>
            <w:r>
              <w:rPr>
                <w:rFonts w:ascii="Tahoma" w:hAnsi="Tahoma" w:cs="Tahoma"/>
              </w:rPr>
              <w:t>Supporting the role of parents in pupils’ learning and contribute to/lead meetings with parents to provide constructive feedback on pupil progress/achievement etc.</w:t>
            </w:r>
          </w:p>
          <w:p>
            <w:pPr>
              <w:numPr>
                <w:ilvl w:val="0"/>
                <w:numId w:val="33"/>
              </w:numPr>
              <w:spacing w:line="240" w:lineRule="auto"/>
              <w:jc w:val="both"/>
              <w:rPr>
                <w:rFonts w:ascii="Tahoma" w:hAnsi="Tahoma" w:cs="Tahoma"/>
              </w:rPr>
            </w:pPr>
            <w:smartTag w:uri="urn:schemas-microsoft-com:office:smarttags" w:element="PersonName">
              <w:r>
                <w:rPr>
                  <w:rFonts w:ascii="Tahoma" w:hAnsi="Tahoma" w:cs="Tahoma"/>
                </w:rPr>
                <w:t>Admin</w:t>
              </w:r>
            </w:smartTag>
            <w:r>
              <w:rPr>
                <w:rFonts w:ascii="Tahoma" w:hAnsi="Tahoma" w:cs="Tahoma"/>
              </w:rPr>
              <w:t>ister and assess/mark tests and invigilate exams/tests.</w:t>
            </w:r>
          </w:p>
          <w:p>
            <w:pPr>
              <w:numPr>
                <w:ilvl w:val="0"/>
                <w:numId w:val="33"/>
              </w:numPr>
              <w:spacing w:line="240" w:lineRule="auto"/>
              <w:jc w:val="both"/>
              <w:rPr>
                <w:rFonts w:ascii="Tahoma" w:hAnsi="Tahoma" w:cs="Tahoma"/>
              </w:rPr>
            </w:pPr>
            <w:r>
              <w:rPr>
                <w:rFonts w:ascii="Tahoma" w:hAnsi="Tahoma" w:cs="Tahoma"/>
              </w:rPr>
              <w:t>Production of lesson plans, worksheet, plans etc.</w:t>
            </w:r>
          </w:p>
          <w:p>
            <w:pPr>
              <w:numPr>
                <w:ilvl w:val="0"/>
                <w:numId w:val="33"/>
              </w:numPr>
              <w:spacing w:line="240" w:lineRule="auto"/>
              <w:jc w:val="both"/>
              <w:rPr>
                <w:rFonts w:ascii="Tahoma" w:hAnsi="Tahoma" w:cs="Tahoma"/>
              </w:rPr>
            </w:pPr>
            <w:r>
              <w:rPr>
                <w:rFonts w:ascii="Tahoma" w:hAnsi="Tahoma" w:cs="Tahoma"/>
              </w:rPr>
              <w:t>Deliver learning activities to pupils within agreed system of supervision, adjusting activities according to pupil responses/needs.</w:t>
            </w:r>
          </w:p>
          <w:p>
            <w:pPr>
              <w:numPr>
                <w:ilvl w:val="0"/>
                <w:numId w:val="33"/>
              </w:numPr>
              <w:spacing w:line="240" w:lineRule="auto"/>
              <w:jc w:val="both"/>
              <w:rPr>
                <w:rFonts w:ascii="Tahoma" w:hAnsi="Tahoma" w:cs="Tahoma"/>
              </w:rPr>
            </w:pPr>
            <w:r>
              <w:rPr>
                <w:rFonts w:ascii="Tahoma" w:hAnsi="Tahoma" w:cs="Tahoma"/>
              </w:rPr>
              <w:lastRenderedPageBreak/>
              <w:t>Deliver local and national learning strategies e.g. literacy, numeracy, early years and make effective use of opportunities provided by other learning activities to support the development of pupils’ skills.</w:t>
            </w:r>
          </w:p>
          <w:p>
            <w:pPr>
              <w:numPr>
                <w:ilvl w:val="0"/>
                <w:numId w:val="33"/>
              </w:numPr>
              <w:spacing w:line="240" w:lineRule="auto"/>
              <w:jc w:val="both"/>
              <w:rPr>
                <w:rFonts w:ascii="Tahoma" w:hAnsi="Tahoma" w:cs="Tahoma"/>
              </w:rPr>
            </w:pPr>
            <w:r>
              <w:rPr>
                <w:rFonts w:ascii="Tahoma" w:hAnsi="Tahoma" w:cs="Tahoma"/>
              </w:rPr>
              <w:t>Use ICT effectively to support learning activities and develop pupils’ competence and independence in its use.</w:t>
            </w:r>
          </w:p>
          <w:p>
            <w:pPr>
              <w:numPr>
                <w:ilvl w:val="0"/>
                <w:numId w:val="33"/>
              </w:numPr>
              <w:spacing w:line="240" w:lineRule="auto"/>
              <w:jc w:val="both"/>
              <w:rPr>
                <w:rFonts w:ascii="Tahoma" w:hAnsi="Tahoma" w:cs="Tahoma"/>
              </w:rPr>
            </w:pPr>
            <w:r>
              <w:rPr>
                <w:rFonts w:ascii="Tahoma" w:hAnsi="Tahoma" w:cs="Tahoma"/>
              </w:rPr>
              <w:t>Select and prepare resources necessary to lead learning activities, taking account of pupils’ interests and language and cultural backgrounds.</w:t>
            </w:r>
          </w:p>
          <w:p>
            <w:pPr>
              <w:numPr>
                <w:ilvl w:val="0"/>
                <w:numId w:val="33"/>
              </w:numPr>
              <w:spacing w:line="240" w:lineRule="auto"/>
              <w:jc w:val="both"/>
              <w:rPr>
                <w:rFonts w:ascii="Tahoma" w:hAnsi="Tahoma" w:cs="Tahoma"/>
              </w:rPr>
            </w:pPr>
            <w:r>
              <w:rPr>
                <w:rFonts w:ascii="Tahoma" w:hAnsi="Tahoma" w:cs="Tahoma"/>
              </w:rPr>
              <w:t>Advise on appropriate deployment and use of specialist aid/resources/equipment.</w:t>
            </w:r>
          </w:p>
          <w:p>
            <w:pPr>
              <w:numPr>
                <w:ilvl w:val="0"/>
                <w:numId w:val="33"/>
              </w:numPr>
              <w:spacing w:line="240" w:lineRule="auto"/>
              <w:jc w:val="both"/>
              <w:rPr>
                <w:rFonts w:ascii="Tahoma" w:hAnsi="Tahoma" w:cs="Tahoma"/>
              </w:rPr>
            </w:pPr>
            <w:r>
              <w:rPr>
                <w:rFonts w:ascii="Tahoma" w:hAnsi="Tahoma" w:cs="Tahoma"/>
              </w:rPr>
              <w:t>Comply with and assist with the development of policies and procedures relating to child protection, health, safety and security, confidentiality and data protection, reporting concerns to an appropriate person.</w:t>
            </w:r>
          </w:p>
          <w:p>
            <w:pPr>
              <w:numPr>
                <w:ilvl w:val="0"/>
                <w:numId w:val="33"/>
              </w:numPr>
              <w:spacing w:line="240" w:lineRule="auto"/>
              <w:jc w:val="both"/>
              <w:rPr>
                <w:rFonts w:ascii="Tahoma" w:hAnsi="Tahoma" w:cs="Tahoma"/>
              </w:rPr>
            </w:pPr>
            <w:r>
              <w:rPr>
                <w:rFonts w:ascii="Tahoma" w:hAnsi="Tahoma" w:cs="Tahoma"/>
              </w:rPr>
              <w:t>Be aware of and support difference and ensure all pupils have equal access to opportunities to learn and develop.</w:t>
            </w:r>
          </w:p>
          <w:p>
            <w:pPr>
              <w:numPr>
                <w:ilvl w:val="0"/>
                <w:numId w:val="33"/>
              </w:numPr>
              <w:spacing w:line="240" w:lineRule="auto"/>
              <w:jc w:val="both"/>
              <w:rPr>
                <w:rFonts w:ascii="Tahoma" w:hAnsi="Tahoma" w:cs="Tahoma"/>
              </w:rPr>
            </w:pPr>
            <w:r>
              <w:rPr>
                <w:rFonts w:ascii="Tahoma" w:hAnsi="Tahoma" w:cs="Tahoma"/>
              </w:rPr>
              <w:t>Contribute to the overall ethos/work/aims of the school.</w:t>
            </w:r>
          </w:p>
          <w:p>
            <w:pPr>
              <w:numPr>
                <w:ilvl w:val="0"/>
                <w:numId w:val="33"/>
              </w:numPr>
              <w:spacing w:line="240" w:lineRule="auto"/>
              <w:jc w:val="both"/>
              <w:rPr>
                <w:rFonts w:ascii="Tahoma" w:hAnsi="Tahoma" w:cs="Tahoma"/>
              </w:rPr>
            </w:pPr>
            <w:r>
              <w:rPr>
                <w:rFonts w:ascii="Tahoma" w:hAnsi="Tahoma" w:cs="Tahoma"/>
              </w:rPr>
              <w:t xml:space="preserve">Establish constructive relationships and communicate with other agencies/professionals, in liaison with the teacher, to support achievement and progress of pupils. </w:t>
            </w:r>
          </w:p>
          <w:p>
            <w:pPr>
              <w:numPr>
                <w:ilvl w:val="0"/>
                <w:numId w:val="33"/>
              </w:numPr>
              <w:spacing w:line="240" w:lineRule="auto"/>
              <w:jc w:val="both"/>
              <w:rPr>
                <w:rFonts w:ascii="Tahoma" w:hAnsi="Tahoma" w:cs="Tahoma"/>
              </w:rPr>
            </w:pPr>
            <w:r>
              <w:rPr>
                <w:rFonts w:ascii="Tahoma" w:hAnsi="Tahoma" w:cs="Tahoma"/>
              </w:rPr>
              <w:t>Take the initiative as appropriate to develop appropriate multi-agency approaches to supporting pupils.</w:t>
            </w:r>
          </w:p>
          <w:p>
            <w:pPr>
              <w:numPr>
                <w:ilvl w:val="0"/>
                <w:numId w:val="33"/>
              </w:numPr>
              <w:spacing w:line="240" w:lineRule="auto"/>
              <w:jc w:val="both"/>
              <w:rPr>
                <w:rFonts w:ascii="Tahoma" w:hAnsi="Tahoma" w:cs="Tahoma"/>
              </w:rPr>
            </w:pPr>
            <w:proofErr w:type="spellStart"/>
            <w:r>
              <w:rPr>
                <w:rFonts w:ascii="Tahoma" w:hAnsi="Tahoma" w:cs="Tahoma"/>
              </w:rPr>
              <w:t>Recognise</w:t>
            </w:r>
            <w:proofErr w:type="spellEnd"/>
            <w:r>
              <w:rPr>
                <w:rFonts w:ascii="Tahoma" w:hAnsi="Tahoma" w:cs="Tahoma"/>
              </w:rPr>
              <w:t xml:space="preserve"> own strengths and areas of specialist expertise and use these to lead, advise and support others.</w:t>
            </w:r>
          </w:p>
          <w:p>
            <w:pPr>
              <w:numPr>
                <w:ilvl w:val="0"/>
                <w:numId w:val="33"/>
              </w:numPr>
              <w:spacing w:line="240" w:lineRule="auto"/>
              <w:jc w:val="both"/>
              <w:rPr>
                <w:rFonts w:ascii="Tahoma" w:hAnsi="Tahoma" w:cs="Tahoma"/>
              </w:rPr>
            </w:pPr>
            <w:r>
              <w:rPr>
                <w:rFonts w:ascii="Tahoma" w:hAnsi="Tahoma" w:cs="Tahoma"/>
              </w:rPr>
              <w:t>Deliver out of school learning activities within guidelines established by the school.</w:t>
            </w:r>
          </w:p>
          <w:p>
            <w:pPr>
              <w:numPr>
                <w:ilvl w:val="0"/>
                <w:numId w:val="33"/>
              </w:numPr>
              <w:spacing w:line="240" w:lineRule="auto"/>
              <w:jc w:val="both"/>
              <w:rPr>
                <w:rFonts w:ascii="Tahoma" w:hAnsi="Tahoma" w:cs="Tahoma"/>
              </w:rPr>
            </w:pPr>
            <w:r>
              <w:rPr>
                <w:rFonts w:ascii="Tahoma" w:hAnsi="Tahoma" w:cs="Tahoma"/>
              </w:rPr>
              <w:t>Contribute to the identification and execution of appropriate out of school learning activities which consolidate and extend work carried out in class.</w:t>
            </w:r>
          </w:p>
          <w:p>
            <w:pPr>
              <w:numPr>
                <w:ilvl w:val="0"/>
                <w:numId w:val="33"/>
              </w:numPr>
              <w:spacing w:line="240" w:lineRule="auto"/>
              <w:rPr>
                <w:rFonts w:ascii="Tahoma" w:hAnsi="Tahoma" w:cs="Tahoma"/>
              </w:rPr>
            </w:pPr>
            <w:r>
              <w:rPr>
                <w:rFonts w:ascii="Tahoma" w:hAnsi="Tahoma" w:cs="Tahoma"/>
              </w:rPr>
              <w:t xml:space="preserve">Attend to the pupils’ personal needs, and implement related personal </w:t>
            </w:r>
            <w:proofErr w:type="spellStart"/>
            <w:r>
              <w:rPr>
                <w:rFonts w:ascii="Tahoma" w:hAnsi="Tahoma" w:cs="Tahoma"/>
              </w:rPr>
              <w:t>programmes</w:t>
            </w:r>
            <w:proofErr w:type="spellEnd"/>
            <w:r>
              <w:rPr>
                <w:rFonts w:ascii="Tahoma" w:hAnsi="Tahoma" w:cs="Tahoma"/>
              </w:rPr>
              <w:t xml:space="preserve">, including social, health, physical, hygiene (including intimate care), basic first aid and welfare matters. </w:t>
            </w:r>
          </w:p>
          <w:p>
            <w:pPr>
              <w:numPr>
                <w:ilvl w:val="0"/>
                <w:numId w:val="33"/>
              </w:numPr>
              <w:spacing w:line="240" w:lineRule="auto"/>
              <w:rPr>
                <w:rFonts w:ascii="Tahoma" w:hAnsi="Tahoma" w:cs="Tahoma"/>
              </w:rPr>
            </w:pPr>
            <w:r>
              <w:rPr>
                <w:rFonts w:ascii="Tahoma" w:hAnsi="Tahoma" w:cs="Tahoma"/>
              </w:rPr>
              <w:t xml:space="preserve">Assist with the development and implementation of EHCP objectives, including toileting and personal hygiene </w:t>
            </w:r>
            <w:proofErr w:type="spellStart"/>
            <w:r>
              <w:rPr>
                <w:rFonts w:ascii="Tahoma" w:hAnsi="Tahoma" w:cs="Tahoma"/>
              </w:rPr>
              <w:t>programmes</w:t>
            </w:r>
            <w:proofErr w:type="spellEnd"/>
            <w:r>
              <w:rPr>
                <w:rFonts w:ascii="Tahoma" w:hAnsi="Tahoma" w:cs="Tahoma"/>
              </w:rPr>
              <w:t xml:space="preserve">, eating and drinking </w:t>
            </w:r>
            <w:proofErr w:type="spellStart"/>
            <w:r>
              <w:rPr>
                <w:rFonts w:ascii="Tahoma" w:hAnsi="Tahoma" w:cs="Tahoma"/>
              </w:rPr>
              <w:t>programmes</w:t>
            </w:r>
            <w:proofErr w:type="spellEnd"/>
            <w:r>
              <w:rPr>
                <w:rFonts w:ascii="Tahoma" w:hAnsi="Tahoma" w:cs="Tahoma"/>
              </w:rPr>
              <w:t>, physical positioning, dressing and grooming.</w:t>
            </w:r>
          </w:p>
          <w:p>
            <w:pPr>
              <w:numPr>
                <w:ilvl w:val="0"/>
                <w:numId w:val="33"/>
              </w:numPr>
              <w:spacing w:line="240" w:lineRule="auto"/>
              <w:jc w:val="both"/>
              <w:rPr>
                <w:rFonts w:ascii="Tahoma" w:hAnsi="Tahoma" w:cs="Tahoma"/>
              </w:rPr>
            </w:pPr>
            <w:r>
              <w:rPr>
                <w:rFonts w:ascii="Tahoma" w:hAnsi="Tahoma" w:cs="Tahoma"/>
              </w:rPr>
              <w:t>Manage other teaching assistants.</w:t>
            </w:r>
          </w:p>
          <w:p>
            <w:pPr>
              <w:numPr>
                <w:ilvl w:val="0"/>
                <w:numId w:val="33"/>
              </w:numPr>
              <w:spacing w:line="240" w:lineRule="auto"/>
              <w:jc w:val="both"/>
              <w:rPr>
                <w:rFonts w:ascii="Tahoma" w:hAnsi="Tahoma" w:cs="Tahoma"/>
              </w:rPr>
            </w:pPr>
            <w:r>
              <w:rPr>
                <w:rFonts w:ascii="Tahoma" w:hAnsi="Tahoma" w:cs="Tahoma"/>
              </w:rPr>
              <w:t>Liaise between mangers/teaching staff and teaching assistants.</w:t>
            </w:r>
          </w:p>
          <w:p>
            <w:pPr>
              <w:numPr>
                <w:ilvl w:val="0"/>
                <w:numId w:val="33"/>
              </w:numPr>
              <w:spacing w:line="240" w:lineRule="auto"/>
              <w:jc w:val="both"/>
              <w:rPr>
                <w:rFonts w:ascii="Tahoma" w:hAnsi="Tahoma" w:cs="Tahoma"/>
              </w:rPr>
            </w:pPr>
            <w:r>
              <w:rPr>
                <w:rFonts w:ascii="Tahoma" w:hAnsi="Tahoma" w:cs="Tahoma"/>
              </w:rPr>
              <w:t>Hold regular team meetings with managed staff.</w:t>
            </w:r>
          </w:p>
          <w:p>
            <w:pPr>
              <w:ind w:left="360"/>
              <w:jc w:val="both"/>
              <w:rPr>
                <w:rFonts w:ascii="Tahoma" w:hAnsi="Tahoma" w:cs="Tahoma"/>
              </w:rPr>
            </w:pPr>
          </w:p>
        </w:tc>
      </w:tr>
      <w:tr>
        <w:trPr>
          <w:jc w:val="center"/>
        </w:trPr>
        <w:tc>
          <w:tcPr>
            <w:tcW w:w="8984" w:type="dxa"/>
            <w:gridSpan w:val="2"/>
          </w:tcPr>
          <w:p>
            <w:pPr>
              <w:jc w:val="both"/>
              <w:rPr>
                <w:rFonts w:ascii="Tahoma" w:hAnsi="Tahoma" w:cs="Tahoma"/>
                <w:b/>
              </w:rPr>
            </w:pPr>
            <w:r>
              <w:rPr>
                <w:rFonts w:ascii="Tahoma" w:hAnsi="Tahoma" w:cs="Tahoma"/>
                <w:b/>
              </w:rPr>
              <w:lastRenderedPageBreak/>
              <w:t>General Information:</w:t>
            </w:r>
          </w:p>
        </w:tc>
      </w:tr>
      <w:tr>
        <w:trPr>
          <w:jc w:val="center"/>
        </w:trPr>
        <w:tc>
          <w:tcPr>
            <w:tcW w:w="2748" w:type="dxa"/>
            <w:vAlign w:val="center"/>
          </w:tcPr>
          <w:p>
            <w:pPr>
              <w:jc w:val="center"/>
              <w:rPr>
                <w:rFonts w:ascii="Tahoma" w:hAnsi="Tahoma" w:cs="Tahoma"/>
              </w:rPr>
            </w:pPr>
            <w:r>
              <w:rPr>
                <w:rFonts w:ascii="Tahoma" w:hAnsi="Tahoma" w:cs="Tahoma"/>
              </w:rPr>
              <w:t>Equality of Opportunity</w:t>
            </w:r>
          </w:p>
        </w:tc>
        <w:tc>
          <w:tcPr>
            <w:tcW w:w="6236" w:type="dxa"/>
          </w:tcPr>
          <w:p>
            <w:pPr>
              <w:pStyle w:val="ListParagraph"/>
              <w:numPr>
                <w:ilvl w:val="0"/>
                <w:numId w:val="34"/>
              </w:numPr>
              <w:spacing w:after="0" w:line="240" w:lineRule="auto"/>
              <w:rPr>
                <w:rFonts w:ascii="Tahoma" w:hAnsi="Tahoma" w:cs="Tahoma"/>
              </w:rPr>
            </w:pPr>
            <w:r>
              <w:rPr>
                <w:rFonts w:ascii="Tahoma" w:hAnsi="Tahoma" w:cs="Tahoma"/>
              </w:rPr>
              <w:t xml:space="preserve">As a member school staff to take individual and collective professional responsibility for reinforcing and promoting a working environment free from discrimination, victimisation, harassment and bullying. </w:t>
            </w:r>
          </w:p>
          <w:p>
            <w:pPr>
              <w:pStyle w:val="ListParagraph"/>
              <w:numPr>
                <w:ilvl w:val="0"/>
                <w:numId w:val="34"/>
              </w:numPr>
              <w:spacing w:after="0" w:line="240" w:lineRule="auto"/>
              <w:rPr>
                <w:rFonts w:ascii="Tahoma" w:hAnsi="Tahoma" w:cs="Tahoma"/>
              </w:rPr>
            </w:pPr>
            <w:r>
              <w:rPr>
                <w:rFonts w:ascii="Tahoma" w:hAnsi="Tahoma" w:cs="Tahoma"/>
              </w:rPr>
              <w:t xml:space="preserve">Ensure the development and progression of equality within the sphere of responsibility of this post and the fair and equal treatment of all colleagues, children, parents and visitors. </w:t>
            </w:r>
          </w:p>
        </w:tc>
      </w:tr>
      <w:tr>
        <w:trPr>
          <w:jc w:val="center"/>
        </w:trPr>
        <w:tc>
          <w:tcPr>
            <w:tcW w:w="2748" w:type="dxa"/>
            <w:vAlign w:val="center"/>
          </w:tcPr>
          <w:p>
            <w:pPr>
              <w:jc w:val="center"/>
              <w:rPr>
                <w:rFonts w:ascii="Tahoma" w:hAnsi="Tahoma" w:cs="Tahoma"/>
              </w:rPr>
            </w:pPr>
            <w:r>
              <w:rPr>
                <w:rFonts w:ascii="Tahoma" w:hAnsi="Tahoma" w:cs="Tahoma"/>
              </w:rPr>
              <w:t>Confidentiality and Data Protection</w:t>
            </w:r>
          </w:p>
        </w:tc>
        <w:tc>
          <w:tcPr>
            <w:tcW w:w="6236" w:type="dxa"/>
          </w:tcPr>
          <w:p>
            <w:pPr>
              <w:pStyle w:val="ListParagraph"/>
              <w:numPr>
                <w:ilvl w:val="0"/>
                <w:numId w:val="35"/>
              </w:numPr>
              <w:spacing w:after="0" w:line="240" w:lineRule="auto"/>
              <w:rPr>
                <w:rFonts w:ascii="Tahoma" w:hAnsi="Tahoma" w:cs="Tahoma"/>
              </w:rPr>
            </w:pPr>
            <w:r>
              <w:rPr>
                <w:rFonts w:ascii="Tahoma" w:hAnsi="Tahoma" w:cs="Tahoma"/>
              </w:rPr>
              <w:t xml:space="preserve">To treat all information acquired through employment, both formally and informally, in strict confidence. </w:t>
            </w:r>
          </w:p>
          <w:p>
            <w:pPr>
              <w:pStyle w:val="ListParagraph"/>
              <w:numPr>
                <w:ilvl w:val="0"/>
                <w:numId w:val="35"/>
              </w:numPr>
              <w:spacing w:after="0" w:line="240" w:lineRule="auto"/>
              <w:rPr>
                <w:rFonts w:ascii="Tahoma" w:hAnsi="Tahoma" w:cs="Tahoma"/>
              </w:rPr>
            </w:pPr>
            <w:r>
              <w:rPr>
                <w:rFonts w:ascii="Tahoma" w:hAnsi="Tahoma" w:cs="Tahoma"/>
              </w:rPr>
              <w:t xml:space="preserve">To be aware of the school's responsibilities under the GDPR for the security, accuracy and relevance of personal </w:t>
            </w:r>
            <w:r>
              <w:rPr>
                <w:rFonts w:ascii="Tahoma" w:hAnsi="Tahoma" w:cs="Tahoma"/>
              </w:rPr>
              <w:lastRenderedPageBreak/>
              <w:t>data held on such systems and ensure that all processes comply with this.</w:t>
            </w:r>
          </w:p>
        </w:tc>
      </w:tr>
      <w:tr>
        <w:trPr>
          <w:jc w:val="center"/>
        </w:trPr>
        <w:tc>
          <w:tcPr>
            <w:tcW w:w="2748" w:type="dxa"/>
            <w:vAlign w:val="center"/>
          </w:tcPr>
          <w:p>
            <w:pPr>
              <w:jc w:val="center"/>
              <w:rPr>
                <w:rFonts w:ascii="Tahoma" w:hAnsi="Tahoma" w:cs="Tahoma"/>
              </w:rPr>
            </w:pPr>
            <w:r>
              <w:rPr>
                <w:rFonts w:ascii="Tahoma" w:hAnsi="Tahoma" w:cs="Tahoma"/>
              </w:rPr>
              <w:lastRenderedPageBreak/>
              <w:t>To contribute as an effective and collaborative member of the School team</w:t>
            </w:r>
          </w:p>
        </w:tc>
        <w:tc>
          <w:tcPr>
            <w:tcW w:w="6236" w:type="dxa"/>
          </w:tcPr>
          <w:p>
            <w:pPr>
              <w:pStyle w:val="ListParagraph"/>
              <w:numPr>
                <w:ilvl w:val="0"/>
                <w:numId w:val="36"/>
              </w:numPr>
              <w:spacing w:after="0" w:line="240" w:lineRule="auto"/>
              <w:rPr>
                <w:rFonts w:ascii="Tahoma" w:hAnsi="Tahoma" w:cs="Tahoma"/>
              </w:rPr>
            </w:pPr>
            <w:r>
              <w:rPr>
                <w:rFonts w:ascii="Tahoma" w:hAnsi="Tahoma" w:cs="Tahoma"/>
              </w:rPr>
              <w:t xml:space="preserve">Any other duties as reasonably required by any manager of the school. </w:t>
            </w:r>
          </w:p>
          <w:p>
            <w:pPr>
              <w:pStyle w:val="ListParagraph"/>
              <w:numPr>
                <w:ilvl w:val="0"/>
                <w:numId w:val="36"/>
              </w:numPr>
              <w:spacing w:after="0" w:line="240" w:lineRule="auto"/>
              <w:rPr>
                <w:rFonts w:ascii="Tahoma" w:hAnsi="Tahoma" w:cs="Tahoma"/>
              </w:rPr>
            </w:pPr>
            <w:r>
              <w:rPr>
                <w:rFonts w:ascii="Tahoma" w:hAnsi="Tahoma" w:cs="Tahoma"/>
              </w:rPr>
              <w:t xml:space="preserve">Participating in the ongoing development, implementation and monitoring of the school plans. </w:t>
            </w:r>
          </w:p>
          <w:p>
            <w:pPr>
              <w:pStyle w:val="ListParagraph"/>
              <w:numPr>
                <w:ilvl w:val="0"/>
                <w:numId w:val="36"/>
              </w:numPr>
              <w:spacing w:after="0" w:line="240" w:lineRule="auto"/>
              <w:rPr>
                <w:rFonts w:ascii="Tahoma" w:hAnsi="Tahoma" w:cs="Tahoma"/>
              </w:rPr>
            </w:pPr>
            <w:r>
              <w:rPr>
                <w:rFonts w:ascii="Tahoma" w:hAnsi="Tahoma" w:cs="Tahoma"/>
              </w:rPr>
              <w:t>Attend regular meetings as required and make a positive contribution during meetings.</w:t>
            </w:r>
          </w:p>
        </w:tc>
      </w:tr>
      <w:tr>
        <w:trPr>
          <w:jc w:val="center"/>
        </w:trPr>
        <w:tc>
          <w:tcPr>
            <w:tcW w:w="2748" w:type="dxa"/>
            <w:vAlign w:val="center"/>
          </w:tcPr>
          <w:p>
            <w:pPr>
              <w:jc w:val="center"/>
              <w:rPr>
                <w:rFonts w:ascii="Tahoma" w:hAnsi="Tahoma" w:cs="Tahoma"/>
              </w:rPr>
            </w:pPr>
            <w:r>
              <w:rPr>
                <w:rFonts w:ascii="Tahoma" w:hAnsi="Tahoma" w:cs="Tahoma"/>
              </w:rPr>
              <w:t>Child Protection</w:t>
            </w:r>
          </w:p>
        </w:tc>
        <w:tc>
          <w:tcPr>
            <w:tcW w:w="6236" w:type="dxa"/>
          </w:tcPr>
          <w:p>
            <w:pPr>
              <w:pStyle w:val="ListParagraph"/>
              <w:numPr>
                <w:ilvl w:val="0"/>
                <w:numId w:val="37"/>
              </w:numPr>
              <w:spacing w:after="0" w:line="240" w:lineRule="auto"/>
              <w:rPr>
                <w:rFonts w:ascii="Tahoma" w:hAnsi="Tahoma" w:cs="Tahoma"/>
              </w:rPr>
            </w:pPr>
            <w:r>
              <w:rPr>
                <w:rFonts w:ascii="Tahoma" w:hAnsi="Tahoma" w:cs="Tahoma"/>
              </w:rPr>
              <w:t xml:space="preserve">Being aware of and complying with policies and procedures relating to child protection reporting all concerns to an appropriate person. </w:t>
            </w:r>
          </w:p>
        </w:tc>
      </w:tr>
      <w:tr>
        <w:trPr>
          <w:jc w:val="center"/>
        </w:trPr>
        <w:tc>
          <w:tcPr>
            <w:tcW w:w="8984" w:type="dxa"/>
            <w:gridSpan w:val="2"/>
          </w:tcPr>
          <w:p>
            <w:pPr>
              <w:jc w:val="both"/>
              <w:rPr>
                <w:rFonts w:ascii="Tahoma" w:hAnsi="Tahoma" w:cs="Tahoma"/>
                <w:b/>
                <w:szCs w:val="23"/>
              </w:rPr>
            </w:pPr>
            <w:r>
              <w:rPr>
                <w:rFonts w:ascii="Tahoma" w:hAnsi="Tahoma" w:cs="Tahoma"/>
                <w:b/>
                <w:szCs w:val="23"/>
              </w:rPr>
              <w:t>Key Skills and Competencies:</w:t>
            </w:r>
          </w:p>
          <w:p>
            <w:pPr>
              <w:jc w:val="both"/>
              <w:rPr>
                <w:rFonts w:ascii="Tahoma" w:hAnsi="Tahoma" w:cs="Tahoma"/>
                <w:szCs w:val="23"/>
              </w:rPr>
            </w:pPr>
          </w:p>
          <w:p>
            <w:pPr>
              <w:numPr>
                <w:ilvl w:val="0"/>
                <w:numId w:val="32"/>
              </w:numPr>
              <w:spacing w:line="240" w:lineRule="auto"/>
              <w:jc w:val="both"/>
              <w:rPr>
                <w:rFonts w:ascii="Tahoma" w:hAnsi="Tahoma" w:cs="Tahoma"/>
                <w:szCs w:val="23"/>
              </w:rPr>
            </w:pPr>
            <w:r>
              <w:rPr>
                <w:rFonts w:ascii="Tahoma" w:hAnsi="Tahoma" w:cs="Tahoma"/>
                <w:szCs w:val="23"/>
              </w:rPr>
              <w:t>Experience of working with or caring for children of relevant age.</w:t>
            </w:r>
          </w:p>
          <w:p>
            <w:pPr>
              <w:numPr>
                <w:ilvl w:val="0"/>
                <w:numId w:val="32"/>
              </w:numPr>
              <w:spacing w:line="240" w:lineRule="auto"/>
              <w:jc w:val="both"/>
              <w:rPr>
                <w:rFonts w:ascii="Tahoma" w:hAnsi="Tahoma" w:cs="Tahoma"/>
              </w:rPr>
            </w:pPr>
            <w:r>
              <w:rPr>
                <w:rFonts w:ascii="Tahoma" w:hAnsi="Tahoma" w:cs="Tahoma"/>
              </w:rPr>
              <w:t>Meet Higher Level Teaching Assistant standards or equivalent qualification or experience.</w:t>
            </w:r>
          </w:p>
          <w:p>
            <w:pPr>
              <w:numPr>
                <w:ilvl w:val="0"/>
                <w:numId w:val="32"/>
              </w:numPr>
              <w:spacing w:line="240" w:lineRule="auto"/>
              <w:jc w:val="both"/>
              <w:rPr>
                <w:rFonts w:ascii="Tahoma" w:hAnsi="Tahoma" w:cs="Tahoma"/>
              </w:rPr>
            </w:pPr>
            <w:r>
              <w:rPr>
                <w:rFonts w:ascii="Tahoma" w:hAnsi="Tahoma" w:cs="Tahoma"/>
              </w:rPr>
              <w:t>Excellent numeracy/literacy skills – equivalent to NVQ Level 2 in English and Maths.</w:t>
            </w:r>
          </w:p>
          <w:p>
            <w:pPr>
              <w:numPr>
                <w:ilvl w:val="0"/>
                <w:numId w:val="32"/>
              </w:numPr>
              <w:spacing w:line="240" w:lineRule="auto"/>
              <w:jc w:val="both"/>
              <w:rPr>
                <w:rFonts w:ascii="Tahoma" w:hAnsi="Tahoma" w:cs="Tahoma"/>
              </w:rPr>
            </w:pPr>
            <w:r>
              <w:rPr>
                <w:rFonts w:ascii="Tahoma" w:hAnsi="Tahoma" w:cs="Tahoma"/>
              </w:rPr>
              <w:t>Training in relevant learning strategies e.g. literacy.</w:t>
            </w:r>
          </w:p>
          <w:p>
            <w:pPr>
              <w:numPr>
                <w:ilvl w:val="0"/>
                <w:numId w:val="32"/>
              </w:numPr>
              <w:spacing w:line="240" w:lineRule="auto"/>
              <w:jc w:val="both"/>
              <w:rPr>
                <w:rFonts w:ascii="Tahoma" w:hAnsi="Tahoma" w:cs="Tahoma"/>
              </w:rPr>
            </w:pPr>
            <w:r>
              <w:rPr>
                <w:rFonts w:ascii="Tahoma" w:hAnsi="Tahoma" w:cs="Tahoma"/>
              </w:rPr>
              <w:t>Can use ICT effectively to support learning.</w:t>
            </w:r>
          </w:p>
          <w:p>
            <w:pPr>
              <w:numPr>
                <w:ilvl w:val="0"/>
                <w:numId w:val="32"/>
              </w:numPr>
              <w:spacing w:line="240" w:lineRule="auto"/>
              <w:jc w:val="both"/>
              <w:rPr>
                <w:rFonts w:ascii="Tahoma" w:hAnsi="Tahoma" w:cs="Tahoma"/>
              </w:rPr>
            </w:pPr>
            <w:r>
              <w:rPr>
                <w:rFonts w:ascii="Tahoma" w:hAnsi="Tahoma" w:cs="Tahoma"/>
              </w:rPr>
              <w:t>Full working knowledge of relevant polices/codes of practice/legislation.</w:t>
            </w:r>
          </w:p>
          <w:p>
            <w:pPr>
              <w:numPr>
                <w:ilvl w:val="0"/>
                <w:numId w:val="32"/>
              </w:numPr>
              <w:spacing w:line="240" w:lineRule="auto"/>
              <w:jc w:val="both"/>
              <w:rPr>
                <w:rFonts w:ascii="Tahoma" w:hAnsi="Tahoma" w:cs="Tahoma"/>
              </w:rPr>
            </w:pPr>
            <w:r>
              <w:rPr>
                <w:rFonts w:ascii="Tahoma" w:hAnsi="Tahoma" w:cs="Tahoma"/>
              </w:rPr>
              <w:t xml:space="preserve">Working knowledge and experience of implementing national/foundation stage curriculum and other relevant learning </w:t>
            </w:r>
            <w:proofErr w:type="spellStart"/>
            <w:r>
              <w:rPr>
                <w:rFonts w:ascii="Tahoma" w:hAnsi="Tahoma" w:cs="Tahoma"/>
              </w:rPr>
              <w:t>programmes</w:t>
            </w:r>
            <w:proofErr w:type="spellEnd"/>
            <w:r>
              <w:rPr>
                <w:rFonts w:ascii="Tahoma" w:hAnsi="Tahoma" w:cs="Tahoma"/>
              </w:rPr>
              <w:t>/strategies.</w:t>
            </w:r>
          </w:p>
          <w:p>
            <w:pPr>
              <w:numPr>
                <w:ilvl w:val="0"/>
                <w:numId w:val="32"/>
              </w:numPr>
              <w:spacing w:line="240" w:lineRule="auto"/>
              <w:jc w:val="both"/>
              <w:rPr>
                <w:rFonts w:ascii="Tahoma" w:hAnsi="Tahoma" w:cs="Tahoma"/>
              </w:rPr>
            </w:pPr>
            <w:r>
              <w:rPr>
                <w:rFonts w:ascii="Tahoma" w:hAnsi="Tahoma" w:cs="Tahoma"/>
              </w:rPr>
              <w:t>Good understanding of child development and learning processes.</w:t>
            </w:r>
          </w:p>
          <w:p>
            <w:pPr>
              <w:numPr>
                <w:ilvl w:val="0"/>
                <w:numId w:val="32"/>
              </w:numPr>
              <w:spacing w:line="240" w:lineRule="auto"/>
              <w:jc w:val="both"/>
              <w:rPr>
                <w:rFonts w:ascii="Tahoma" w:hAnsi="Tahoma" w:cs="Tahoma"/>
              </w:rPr>
            </w:pPr>
            <w:r>
              <w:rPr>
                <w:rFonts w:ascii="Tahoma" w:hAnsi="Tahoma" w:cs="Tahoma"/>
              </w:rPr>
              <w:t>Understanding of statutory frameworks relating to teaching.</w:t>
            </w:r>
          </w:p>
          <w:p>
            <w:pPr>
              <w:numPr>
                <w:ilvl w:val="0"/>
                <w:numId w:val="32"/>
              </w:numPr>
              <w:spacing w:line="240" w:lineRule="auto"/>
              <w:jc w:val="both"/>
              <w:rPr>
                <w:rFonts w:ascii="Tahoma" w:hAnsi="Tahoma" w:cs="Tahoma"/>
              </w:rPr>
            </w:pPr>
            <w:r>
              <w:rPr>
                <w:rFonts w:ascii="Tahoma" w:hAnsi="Tahoma" w:cs="Tahoma"/>
              </w:rPr>
              <w:t xml:space="preserve">Ability to </w:t>
            </w:r>
            <w:proofErr w:type="spellStart"/>
            <w:r>
              <w:rPr>
                <w:rFonts w:ascii="Tahoma" w:hAnsi="Tahoma" w:cs="Tahoma"/>
              </w:rPr>
              <w:t>organise</w:t>
            </w:r>
            <w:proofErr w:type="spellEnd"/>
            <w:r>
              <w:rPr>
                <w:rFonts w:ascii="Tahoma" w:hAnsi="Tahoma" w:cs="Tahoma"/>
              </w:rPr>
              <w:t>, lead and motivate a team.</w:t>
            </w:r>
          </w:p>
          <w:p>
            <w:pPr>
              <w:numPr>
                <w:ilvl w:val="0"/>
                <w:numId w:val="32"/>
              </w:numPr>
              <w:spacing w:line="240" w:lineRule="auto"/>
              <w:jc w:val="both"/>
              <w:rPr>
                <w:rFonts w:ascii="Tahoma" w:hAnsi="Tahoma" w:cs="Tahoma"/>
              </w:rPr>
            </w:pPr>
            <w:r>
              <w:rPr>
                <w:rFonts w:ascii="Tahoma" w:hAnsi="Tahoma" w:cs="Tahoma"/>
              </w:rPr>
              <w:t>Constantly improve own practice/knowledge through self-evaluation and learning from others.</w:t>
            </w:r>
          </w:p>
          <w:p>
            <w:pPr>
              <w:numPr>
                <w:ilvl w:val="0"/>
                <w:numId w:val="32"/>
              </w:numPr>
              <w:spacing w:line="240" w:lineRule="auto"/>
              <w:jc w:val="both"/>
              <w:rPr>
                <w:rFonts w:ascii="Tahoma" w:hAnsi="Tahoma" w:cs="Tahoma"/>
              </w:rPr>
            </w:pPr>
            <w:r>
              <w:rPr>
                <w:rFonts w:ascii="Tahoma" w:hAnsi="Tahoma" w:cs="Tahoma"/>
              </w:rPr>
              <w:t>Ability to relate well to children and adults.</w:t>
            </w:r>
          </w:p>
          <w:p>
            <w:pPr>
              <w:numPr>
                <w:ilvl w:val="0"/>
                <w:numId w:val="32"/>
              </w:numPr>
              <w:spacing w:line="240" w:lineRule="auto"/>
              <w:jc w:val="both"/>
              <w:rPr>
                <w:rFonts w:ascii="Tahoma" w:hAnsi="Tahoma" w:cs="Tahoma"/>
                <w:szCs w:val="23"/>
              </w:rPr>
            </w:pPr>
            <w:r>
              <w:rPr>
                <w:rFonts w:ascii="Tahoma" w:hAnsi="Tahoma" w:cs="Tahoma"/>
              </w:rPr>
              <w:t>Work constructively as part of a team, understanding classroom roles and responsibilities and your own position within these.</w:t>
            </w:r>
          </w:p>
          <w:p>
            <w:pPr>
              <w:numPr>
                <w:ilvl w:val="0"/>
                <w:numId w:val="32"/>
              </w:numPr>
              <w:spacing w:line="240" w:lineRule="auto"/>
              <w:jc w:val="both"/>
              <w:rPr>
                <w:rFonts w:ascii="Tahoma" w:hAnsi="Tahoma" w:cs="Tahoma"/>
                <w:szCs w:val="23"/>
              </w:rPr>
            </w:pPr>
            <w:r>
              <w:rPr>
                <w:rFonts w:ascii="Tahoma" w:hAnsi="Tahoma" w:cs="Tahoma"/>
                <w:szCs w:val="23"/>
              </w:rPr>
              <w:t>Basic understanding teaching expectations at each level across the school</w:t>
            </w:r>
          </w:p>
          <w:p>
            <w:pPr>
              <w:numPr>
                <w:ilvl w:val="0"/>
                <w:numId w:val="32"/>
              </w:numPr>
              <w:spacing w:line="240" w:lineRule="auto"/>
              <w:jc w:val="both"/>
              <w:rPr>
                <w:rFonts w:ascii="Tahoma" w:hAnsi="Tahoma" w:cs="Tahoma"/>
                <w:szCs w:val="23"/>
              </w:rPr>
            </w:pPr>
            <w:r>
              <w:rPr>
                <w:rFonts w:ascii="Tahoma" w:hAnsi="Tahoma" w:cs="Tahoma"/>
                <w:szCs w:val="23"/>
              </w:rPr>
              <w:t>Appropriate knowledge of first aid</w:t>
            </w:r>
          </w:p>
          <w:p>
            <w:pPr>
              <w:jc w:val="both"/>
              <w:rPr>
                <w:rFonts w:ascii="Tahoma" w:hAnsi="Tahoma" w:cs="Tahoma"/>
                <w:szCs w:val="23"/>
              </w:rPr>
            </w:pPr>
          </w:p>
        </w:tc>
      </w:tr>
    </w:tbl>
    <w:p>
      <w:pPr>
        <w:pStyle w:val="NormalWeb"/>
        <w:spacing w:before="0" w:beforeAutospacing="0" w:after="0" w:afterAutospacing="0"/>
        <w:jc w:val="center"/>
      </w:pPr>
    </w:p>
    <w:bookmarkEnd w:id="1"/>
    <w:sectPr>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line="240" w:lineRule="auto"/>
      </w:pPr>
      <w:r>
        <w:separator/>
      </w:r>
    </w:p>
  </w:endnote>
  <w:endnote w:type="continuationSeparator" w:id="0">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line="240" w:lineRule="auto"/>
      </w:pPr>
      <w:r>
        <w:separator/>
      </w:r>
    </w:p>
  </w:footnote>
  <w:footnote w:type="continuationSeparator" w:id="0">
    <w:p>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C79F5"/>
    <w:multiLevelType w:val="multilevel"/>
    <w:tmpl w:val="12FCA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3043B"/>
    <w:multiLevelType w:val="multilevel"/>
    <w:tmpl w:val="12361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7F5A95"/>
    <w:multiLevelType w:val="multilevel"/>
    <w:tmpl w:val="B30EC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E3331A"/>
    <w:multiLevelType w:val="multilevel"/>
    <w:tmpl w:val="5F76C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9C2E86"/>
    <w:multiLevelType w:val="multilevel"/>
    <w:tmpl w:val="F74A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522365"/>
    <w:multiLevelType w:val="multilevel"/>
    <w:tmpl w:val="3440D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8061D6"/>
    <w:multiLevelType w:val="multilevel"/>
    <w:tmpl w:val="2FAE6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132CF3"/>
    <w:multiLevelType w:val="multilevel"/>
    <w:tmpl w:val="339EA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A22647"/>
    <w:multiLevelType w:val="multilevel"/>
    <w:tmpl w:val="6742D536"/>
    <w:lvl w:ilvl="0">
      <w:start w:val="1"/>
      <w:numFmt w:val="bullet"/>
      <w:lvlText w:val="●"/>
      <w:lvlJc w:val="left"/>
      <w:pPr>
        <w:ind w:left="720" w:hanging="360"/>
      </w:pPr>
      <w:rPr>
        <w:rFonts w:ascii="Arial" w:eastAsia="Arial" w:hAnsi="Arial" w:cs="Arial"/>
        <w:color w:val="444444"/>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03C18CC"/>
    <w:multiLevelType w:val="multilevel"/>
    <w:tmpl w:val="23084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A20579"/>
    <w:multiLevelType w:val="multilevel"/>
    <w:tmpl w:val="35DA5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B6772B"/>
    <w:multiLevelType w:val="multilevel"/>
    <w:tmpl w:val="D6CCE748"/>
    <w:lvl w:ilvl="0">
      <w:start w:val="1"/>
      <w:numFmt w:val="bullet"/>
      <w:lvlText w:val="●"/>
      <w:lvlJc w:val="left"/>
      <w:pPr>
        <w:ind w:left="720" w:hanging="360"/>
      </w:pPr>
      <w:rPr>
        <w:rFonts w:ascii="Arial" w:eastAsia="Arial" w:hAnsi="Arial" w:cs="Arial"/>
        <w:color w:val="444444"/>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57B64A7"/>
    <w:multiLevelType w:val="multilevel"/>
    <w:tmpl w:val="5D0C1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576C73"/>
    <w:multiLevelType w:val="multilevel"/>
    <w:tmpl w:val="7BC23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142366"/>
    <w:multiLevelType w:val="multilevel"/>
    <w:tmpl w:val="7D92BBE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0E37969"/>
    <w:multiLevelType w:val="hybridMultilevel"/>
    <w:tmpl w:val="E9B449FC"/>
    <w:lvl w:ilvl="0" w:tplc="B9B4B45A">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A8B6E9B"/>
    <w:multiLevelType w:val="hybridMultilevel"/>
    <w:tmpl w:val="DB0A9C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B1D578F"/>
    <w:multiLevelType w:val="hybridMultilevel"/>
    <w:tmpl w:val="ADD8B2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E2E7E17"/>
    <w:multiLevelType w:val="multilevel"/>
    <w:tmpl w:val="FBFE0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9B2549"/>
    <w:multiLevelType w:val="multilevel"/>
    <w:tmpl w:val="5A165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845B86"/>
    <w:multiLevelType w:val="multilevel"/>
    <w:tmpl w:val="E8303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9E60E0"/>
    <w:multiLevelType w:val="multilevel"/>
    <w:tmpl w:val="5AF83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C67F2E"/>
    <w:multiLevelType w:val="multilevel"/>
    <w:tmpl w:val="BE3ED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E350ED"/>
    <w:multiLevelType w:val="multilevel"/>
    <w:tmpl w:val="94E46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4827D1"/>
    <w:multiLevelType w:val="multilevel"/>
    <w:tmpl w:val="6E82F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2658F9"/>
    <w:multiLevelType w:val="multilevel"/>
    <w:tmpl w:val="23806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4E389B"/>
    <w:multiLevelType w:val="multilevel"/>
    <w:tmpl w:val="A094E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FF3B06"/>
    <w:multiLevelType w:val="multilevel"/>
    <w:tmpl w:val="10701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CB7B31"/>
    <w:multiLevelType w:val="multilevel"/>
    <w:tmpl w:val="A9F0E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8D151D"/>
    <w:multiLevelType w:val="multilevel"/>
    <w:tmpl w:val="42C2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FF546A"/>
    <w:multiLevelType w:val="multilevel"/>
    <w:tmpl w:val="6AD6F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A455A5"/>
    <w:multiLevelType w:val="multilevel"/>
    <w:tmpl w:val="E9948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B4193B"/>
    <w:multiLevelType w:val="hybridMultilevel"/>
    <w:tmpl w:val="7602881C"/>
    <w:lvl w:ilvl="0" w:tplc="08090001">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B0C4598"/>
    <w:multiLevelType w:val="hybridMultilevel"/>
    <w:tmpl w:val="1390DB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D946DDC"/>
    <w:multiLevelType w:val="hybridMultilevel"/>
    <w:tmpl w:val="C700F1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E9B58F0"/>
    <w:multiLevelType w:val="multilevel"/>
    <w:tmpl w:val="599C3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BF1BAD"/>
    <w:multiLevelType w:val="multilevel"/>
    <w:tmpl w:val="E8A8F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8"/>
  </w:num>
  <w:num w:numId="3">
    <w:abstractNumId w:val="20"/>
  </w:num>
  <w:num w:numId="4">
    <w:abstractNumId w:val="26"/>
  </w:num>
  <w:num w:numId="5">
    <w:abstractNumId w:val="31"/>
  </w:num>
  <w:num w:numId="6">
    <w:abstractNumId w:val="5"/>
  </w:num>
  <w:num w:numId="7">
    <w:abstractNumId w:val="36"/>
  </w:num>
  <w:num w:numId="8">
    <w:abstractNumId w:val="7"/>
  </w:num>
  <w:num w:numId="9">
    <w:abstractNumId w:val="0"/>
  </w:num>
  <w:num w:numId="10">
    <w:abstractNumId w:val="30"/>
  </w:num>
  <w:num w:numId="11">
    <w:abstractNumId w:val="12"/>
  </w:num>
  <w:num w:numId="12">
    <w:abstractNumId w:val="35"/>
  </w:num>
  <w:num w:numId="13">
    <w:abstractNumId w:val="18"/>
  </w:num>
  <w:num w:numId="14">
    <w:abstractNumId w:val="4"/>
  </w:num>
  <w:num w:numId="15">
    <w:abstractNumId w:val="10"/>
  </w:num>
  <w:num w:numId="16">
    <w:abstractNumId w:val="9"/>
  </w:num>
  <w:num w:numId="17">
    <w:abstractNumId w:val="24"/>
  </w:num>
  <w:num w:numId="18">
    <w:abstractNumId w:val="6"/>
  </w:num>
  <w:num w:numId="19">
    <w:abstractNumId w:val="28"/>
  </w:num>
  <w:num w:numId="20">
    <w:abstractNumId w:val="23"/>
  </w:num>
  <w:num w:numId="21">
    <w:abstractNumId w:val="22"/>
  </w:num>
  <w:num w:numId="22">
    <w:abstractNumId w:val="3"/>
  </w:num>
  <w:num w:numId="23">
    <w:abstractNumId w:val="25"/>
  </w:num>
  <w:num w:numId="24">
    <w:abstractNumId w:val="19"/>
  </w:num>
  <w:num w:numId="25">
    <w:abstractNumId w:val="2"/>
  </w:num>
  <w:num w:numId="26">
    <w:abstractNumId w:val="29"/>
  </w:num>
  <w:num w:numId="27">
    <w:abstractNumId w:val="21"/>
  </w:num>
  <w:num w:numId="28">
    <w:abstractNumId w:val="1"/>
  </w:num>
  <w:num w:numId="29">
    <w:abstractNumId w:val="27"/>
  </w:num>
  <w:num w:numId="30">
    <w:abstractNumId w:val="13"/>
  </w:num>
  <w:num w:numId="31">
    <w:abstractNumId w:val="14"/>
  </w:num>
  <w:num w:numId="32">
    <w:abstractNumId w:val="15"/>
  </w:num>
  <w:num w:numId="33">
    <w:abstractNumId w:val="32"/>
  </w:num>
  <w:num w:numId="34">
    <w:abstractNumId w:val="17"/>
  </w:num>
  <w:num w:numId="35">
    <w:abstractNumId w:val="16"/>
  </w:num>
  <w:num w:numId="36">
    <w:abstractNumId w:val="33"/>
  </w:num>
  <w:num w:numId="37">
    <w:abstractNumId w:val="3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docId w15:val="{77BDBBF1-4983-4198-890D-9C07B700D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pPr>
      <w:spacing w:after="160" w:line="256" w:lineRule="auto"/>
      <w:ind w:left="720"/>
      <w:contextualSpacing/>
    </w:pPr>
    <w:rPr>
      <w:rFonts w:ascii="Calibri" w:eastAsia="Calibri" w:hAnsi="Calibri" w:cs="Times New Roman"/>
      <w:lang w:val="en-GB" w:eastAsia="en-US"/>
    </w:rPr>
  </w:style>
  <w:style w:type="paragraph" w:styleId="BalloonText">
    <w:name w:val="Balloon Text"/>
    <w:basedOn w:val="Normal"/>
    <w:link w:val="BalloonTextChar"/>
    <w:uiPriority w:val="99"/>
    <w:semiHidden/>
    <w:unhideWhenUs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Text">
    <w:name w:val="Text"/>
    <w:basedOn w:val="BodyText"/>
    <w:link w:val="TextChar"/>
    <w:qFormat/>
    <w:pPr>
      <w:spacing w:line="240" w:lineRule="auto"/>
    </w:pPr>
    <w:rPr>
      <w:rFonts w:eastAsia="MS Mincho"/>
      <w:sz w:val="20"/>
      <w:szCs w:val="20"/>
      <w:lang w:val="en-US" w:eastAsia="en-US"/>
    </w:rPr>
  </w:style>
  <w:style w:type="character" w:customStyle="1" w:styleId="TextChar">
    <w:name w:val="Text Char"/>
    <w:link w:val="Text"/>
    <w:rPr>
      <w:rFonts w:eastAsia="MS Mincho"/>
      <w:sz w:val="20"/>
      <w:szCs w:val="20"/>
      <w:lang w:val="en-US" w:eastAsia="en-US"/>
    </w:rPr>
  </w:style>
  <w:style w:type="paragraph" w:customStyle="1" w:styleId="Heading">
    <w:name w:val="Heading"/>
    <w:basedOn w:val="BodyText"/>
    <w:link w:val="HeadingChar"/>
    <w:autoRedefine/>
    <w:qFormat/>
    <w:pPr>
      <w:spacing w:line="360" w:lineRule="auto"/>
    </w:pPr>
    <w:rPr>
      <w:rFonts w:eastAsia="MS Mincho" w:cs="Times New Roman"/>
      <w:b/>
      <w:sz w:val="24"/>
      <w:szCs w:val="24"/>
      <w:lang w:val="en-US" w:eastAsia="en-US"/>
    </w:rPr>
  </w:style>
  <w:style w:type="character" w:customStyle="1" w:styleId="HeadingChar">
    <w:name w:val="Heading Char"/>
    <w:link w:val="Heading"/>
    <w:rPr>
      <w:rFonts w:eastAsia="MS Mincho" w:cs="Times New Roman"/>
      <w:b/>
      <w:sz w:val="24"/>
      <w:szCs w:val="24"/>
      <w:lang w:val="en-US" w:eastAsia="en-US"/>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en-GB"/>
    </w:rPr>
  </w:style>
  <w:style w:type="character" w:customStyle="1" w:styleId="apple-tab-span">
    <w:name w:val="apple-tab-span"/>
    <w:basedOn w:val="DefaultParagraphFont"/>
  </w:style>
  <w:style w:type="character" w:styleId="Hyperlink">
    <w:name w:val="Hyperlink"/>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7080870">
      <w:bodyDiv w:val="1"/>
      <w:marLeft w:val="0"/>
      <w:marRight w:val="0"/>
      <w:marTop w:val="0"/>
      <w:marBottom w:val="0"/>
      <w:divBdr>
        <w:top w:val="none" w:sz="0" w:space="0" w:color="auto"/>
        <w:left w:val="none" w:sz="0" w:space="0" w:color="auto"/>
        <w:bottom w:val="none" w:sz="0" w:space="0" w:color="auto"/>
        <w:right w:val="none" w:sz="0" w:space="0" w:color="auto"/>
      </w:divBdr>
    </w:div>
    <w:div w:id="1651865659">
      <w:bodyDiv w:val="1"/>
      <w:marLeft w:val="0"/>
      <w:marRight w:val="0"/>
      <w:marTop w:val="0"/>
      <w:marBottom w:val="0"/>
      <w:divBdr>
        <w:top w:val="none" w:sz="0" w:space="0" w:color="auto"/>
        <w:left w:val="none" w:sz="0" w:space="0" w:color="auto"/>
        <w:bottom w:val="none" w:sz="0" w:space="0" w:color="auto"/>
        <w:right w:val="none" w:sz="0" w:space="0" w:color="auto"/>
      </w:divBdr>
    </w:div>
    <w:div w:id="19194361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hyperlink" Target="mailto:HR@gwynjones.waltham.sch.uk"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HR@gwynjones.waltham.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2268</Words>
  <Characters>12928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Simon Craner</dc:creator>
  <cp:lastModifiedBy>Sian Boutalbi</cp:lastModifiedBy>
  <cp:revision>2</cp:revision>
  <cp:lastPrinted>2023-07-06T10:59:00Z</cp:lastPrinted>
  <dcterms:created xsi:type="dcterms:W3CDTF">2024-06-25T14:56:00Z</dcterms:created>
  <dcterms:modified xsi:type="dcterms:W3CDTF">2024-06-25T14:56:00Z</dcterms:modified>
</cp:coreProperties>
</file>