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tbl>
      <w:tblPr>
        <w:tblStyle w:val="Table1"/>
        <w:tblW w:w="9016.0" w:type="dxa"/>
        <w:jc w:val="left"/>
        <w:tblLayout w:type="fixed"/>
        <w:tblLook w:val="0400"/>
      </w:tblPr>
      <w:tblGrid>
        <w:gridCol w:w="4356"/>
        <w:gridCol w:w="4660"/>
        <w:tblGridChange w:id="0">
          <w:tblGrid>
            <w:gridCol w:w="4356"/>
            <w:gridCol w:w="4660"/>
          </w:tblGrid>
        </w:tblGridChange>
      </w:tblGrid>
      <w:tr>
        <w:trPr>
          <w:cantSplit w:val="0"/>
          <w:trHeight w:val="420" w:hRule="atLeast"/>
          <w:tblHeader w:val="0"/>
        </w:trPr>
        <w:tc>
          <w:tcPr>
            <w:gridSpan w:val="2"/>
            <w:tcBorders>
              <w:top w:color="000000" w:space="0" w:sz="4" w:val="single"/>
              <w:left w:color="000000" w:space="0" w:sz="4" w:val="single"/>
              <w:bottom w:color="000000" w:space="0" w:sz="4" w:val="single"/>
              <w:right w:color="000000" w:space="0" w:sz="4" w:val="single"/>
            </w:tcBorders>
            <w:shd w:fill="0070c0" w:val="clear"/>
            <w:tcMar>
              <w:top w:w="0.0" w:type="dxa"/>
              <w:left w:w="120.0" w:type="dxa"/>
              <w:bottom w:w="0.0" w:type="dxa"/>
              <w:right w:w="120.0" w:type="dxa"/>
            </w:tcMar>
            <w:vAlign w:val="center"/>
          </w:tcPr>
          <w:p w:rsidR="00000000" w:rsidDel="00000000" w:rsidP="00000000" w:rsidRDefault="00000000" w:rsidRPr="00000000" w14:paraId="00000003">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ffffff"/>
                <w:sz w:val="20"/>
                <w:szCs w:val="20"/>
                <w:rtl w:val="0"/>
              </w:rPr>
              <w:t xml:space="preserve">Job Description</w:t>
            </w:r>
            <w:r w:rsidDel="00000000" w:rsidR="00000000" w:rsidRPr="00000000">
              <w:rPr>
                <w:rtl w:val="0"/>
              </w:rPr>
            </w:r>
          </w:p>
        </w:tc>
      </w:tr>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5">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Department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7">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000000"/>
                <w:sz w:val="20"/>
                <w:szCs w:val="20"/>
                <w:highlight w:val="white"/>
                <w:rtl w:val="0"/>
              </w:rPr>
              <w:t xml:space="preserve">Inclusion &amp; Diversity </w:t>
            </w:r>
            <w:r w:rsidDel="00000000" w:rsidR="00000000" w:rsidRPr="00000000">
              <w:rPr>
                <w:rtl w:val="0"/>
              </w:rPr>
            </w:r>
          </w:p>
        </w:tc>
      </w:tr>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8">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Post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70c0" w:val="clear"/>
            <w:tcMar>
              <w:top w:w="0.0" w:type="dxa"/>
              <w:left w:w="120.0" w:type="dxa"/>
              <w:bottom w:w="0.0" w:type="dxa"/>
              <w:right w:w="120.0" w:type="dxa"/>
            </w:tcMar>
            <w:vAlign w:val="center"/>
          </w:tcPr>
          <w:p w:rsidR="00000000" w:rsidDel="00000000" w:rsidP="00000000" w:rsidRDefault="00000000" w:rsidRPr="00000000" w14:paraId="0000000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color w:val="ffffff"/>
                <w:rtl w:val="0"/>
              </w:rPr>
              <w:t xml:space="preserve">HLTA</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B">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Salary Scale/Range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C">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Scale 5 – Pts 12-17 £28,598-£31,022 (full year) </w:t>
            </w:r>
            <w:r w:rsidDel="00000000" w:rsidR="00000000" w:rsidRPr="00000000">
              <w:rPr>
                <w:rFonts w:ascii="Century Gothic" w:cs="Century Gothic" w:eastAsia="Century Gothic" w:hAnsi="Century Gothic"/>
                <w:b w:val="1"/>
                <w:bCs w:val="1"/>
                <w:rtl w:val="0"/>
              </w:rPr>
              <w:t xml:space="preserve">£24,789-£26,891 </w:t>
            </w:r>
            <w:r w:rsidDel="00000000" w:rsidR="00000000" w:rsidRPr="00000000">
              <w:rPr>
                <w:rFonts w:ascii="Century Gothic" w:cs="Century Gothic" w:eastAsia="Century Gothic" w:hAnsi="Century Gothic"/>
                <w:rtl w:val="0"/>
              </w:rPr>
              <w:t xml:space="preserve">actual</w:t>
            </w:r>
          </w:p>
        </w:tc>
      </w:tr>
      <w:tr>
        <w:trPr>
          <w:cantSplit w:val="0"/>
          <w:trHeight w:val="48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D">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Hours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E">
            <w:pPr>
              <w:tabs>
                <w:tab w:val="left" w:leader="none" w:pos="958"/>
                <w:tab w:val="left" w:leader="none" w:pos="4628"/>
                <w:tab w:val="left" w:leader="none" w:pos="11638"/>
              </w:tabs>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Hours</w:t>
            </w:r>
            <w:r w:rsidDel="00000000" w:rsidR="00000000" w:rsidRPr="00000000">
              <w:rPr>
                <w:rFonts w:ascii="Century Gothic" w:cs="Century Gothic" w:eastAsia="Century Gothic" w:hAnsi="Century Gothic"/>
                <w:rtl w:val="0"/>
              </w:rPr>
              <w:t xml:space="preserve">: 37 Hours per week – Term Time only, plus 3 Inset days (8am-4pm which includes 30min lunch break)</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F">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Permanent/Fixed 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0">
            <w:pP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Permanent </w:t>
            </w:r>
          </w:p>
        </w:tc>
      </w:tr>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1">
            <w:pPr>
              <w:spacing w:after="12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Posts Responsible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12">
            <w:pPr>
              <w:spacing w:after="0" w:before="12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000000"/>
                <w:sz w:val="20"/>
                <w:szCs w:val="20"/>
                <w:rtl w:val="0"/>
              </w:rPr>
              <w:t xml:space="preserve">SENDCO</w:t>
            </w:r>
            <w:r w:rsidDel="00000000" w:rsidR="00000000" w:rsidRPr="00000000">
              <w:rPr>
                <w:rtl w:val="0"/>
              </w:rPr>
            </w:r>
          </w:p>
        </w:tc>
      </w:tr>
      <w:tr>
        <w:trPr>
          <w:cantSplit w:val="0"/>
          <w:trHeight w:val="51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3">
            <w:pPr>
              <w:spacing w:after="12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Posts Responsible for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14">
            <w:pPr>
              <w:spacing w:after="0"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w:t>
            </w:r>
          </w:p>
        </w:tc>
      </w:tr>
      <w:tr>
        <w:trPr>
          <w:cantSplit w:val="0"/>
          <w:trHeight w:val="1281"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15">
            <w:pPr>
              <w:spacing w:after="0"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Job Purpose</w:t>
            </w:r>
            <w:r w:rsidDel="00000000" w:rsidR="00000000" w:rsidRPr="00000000">
              <w:rPr>
                <w:rFonts w:ascii="Century Gothic" w:cs="Century Gothic" w:eastAsia="Century Gothic" w:hAnsi="Century Gothic"/>
                <w:color w:val="000000"/>
                <w:sz w:val="20"/>
                <w:szCs w:val="20"/>
                <w:rtl w:val="0"/>
              </w:rPr>
              <w:t xml:space="preserve">:</w:t>
            </w:r>
            <w:r w:rsidDel="00000000" w:rsidR="00000000" w:rsidRPr="00000000">
              <w:rPr>
                <w:rtl w:val="0"/>
              </w:rPr>
            </w:r>
          </w:p>
          <w:p w:rsidR="00000000" w:rsidDel="00000000" w:rsidP="00000000" w:rsidRDefault="00000000" w:rsidRPr="00000000" w14:paraId="00000017">
            <w:pPr>
              <w:spacing w:after="0" w:line="240" w:lineRule="auto"/>
              <w:jc w:val="both"/>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post holder will work with students across the school whose additional needs may mean they are struggling to make expected progress and present as vulnerable in a large, mainstream school.</w:t>
            </w:r>
          </w:p>
          <w:p w:rsidR="00000000" w:rsidDel="00000000" w:rsidP="00000000" w:rsidRDefault="00000000" w:rsidRPr="00000000" w14:paraId="0000001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role of the HLTA is to support the classroom teachers to deliver a curriculum that will ensure students are ready to take a full and active part in life in mainstream classrooms within The Kingsway School</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This may involve delivering learning activities for individuals, groups/whole classes of students under an agreed system of supervision.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addition the role includes a whole school specialism to support cohorts of students in their progress and to reduce barriers for their learning. As part of this role the HLTA will work under the direct management of the SENDCO and Assistant SENDCOs to lead the cohort of students and ensure effective strategies are in place to support them. This requires expertise and understanding of students’ needs, the school’s curriculum and effective monitoring and evaluation as well as effective communication with all stakeholders. Training can be provided to support specialisms and may include but are not limited to ADHD, Autism, EAL, SEMH.</w:t>
            </w:r>
          </w:p>
          <w:p w:rsidR="00000000" w:rsidDel="00000000" w:rsidP="00000000" w:rsidRDefault="00000000" w:rsidRPr="00000000" w14:paraId="0000001D">
            <w:pPr>
              <w:spacing w:after="0"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F">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0">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Main duties and responsibilities:</w:t>
      </w:r>
    </w:p>
    <w:p w:rsidR="00000000" w:rsidDel="00000000" w:rsidP="00000000" w:rsidRDefault="00000000" w:rsidRPr="00000000" w14:paraId="00000021">
      <w:pPr>
        <w:numPr>
          <w:ilvl w:val="0"/>
          <w:numId w:val="9"/>
        </w:numPr>
        <w:shd w:fill="ffffff" w:val="clear"/>
        <w:spacing w:after="0" w:line="315"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b0c0c"/>
          <w:rtl w:val="0"/>
        </w:rPr>
        <w:t xml:space="preserve">Contribute to the planning, teaching  and assessment of students with SEND in mainstream lessons</w:t>
      </w:r>
      <w:r w:rsidDel="00000000" w:rsidR="00000000" w:rsidRPr="00000000">
        <w:rPr>
          <w:rtl w:val="0"/>
        </w:rPr>
      </w:r>
    </w:p>
    <w:p w:rsidR="00000000" w:rsidDel="00000000" w:rsidP="00000000" w:rsidRDefault="00000000" w:rsidRPr="00000000" w14:paraId="00000022">
      <w:pPr>
        <w:numPr>
          <w:ilvl w:val="0"/>
          <w:numId w:val="9"/>
        </w:numPr>
        <w:shd w:fill="ffffff" w:val="clear"/>
        <w:spacing w:after="0" w:line="315" w:lineRule="auto"/>
        <w:ind w:left="720" w:hanging="360"/>
        <w:rPr>
          <w:rFonts w:ascii="Century Gothic" w:cs="Century Gothic" w:eastAsia="Century Gothic" w:hAnsi="Century Gothic"/>
          <w:color w:val="0b0c0c"/>
        </w:rPr>
      </w:pPr>
      <w:r w:rsidDel="00000000" w:rsidR="00000000" w:rsidRPr="00000000">
        <w:rPr>
          <w:rFonts w:ascii="Century Gothic" w:cs="Century Gothic" w:eastAsia="Century Gothic" w:hAnsi="Century Gothic"/>
          <w:color w:val="0b0c0c"/>
          <w:rtl w:val="0"/>
        </w:rPr>
        <w:t xml:space="preserve">Support classroom teachers to know and support the needs of students in their curriculum lessons</w:t>
      </w:r>
    </w:p>
    <w:p w:rsidR="00000000" w:rsidDel="00000000" w:rsidP="00000000" w:rsidRDefault="00000000" w:rsidRPr="00000000" w14:paraId="00000023">
      <w:pPr>
        <w:numPr>
          <w:ilvl w:val="0"/>
          <w:numId w:val="9"/>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Work with a cohort of students to ensure that they have a very successful secondary school experience, where previously additional needs including social and communication difficulties may have been a barrier </w:t>
      </w:r>
      <w:r w:rsidDel="00000000" w:rsidR="00000000" w:rsidRPr="00000000">
        <w:rPr>
          <w:rtl w:val="0"/>
        </w:rPr>
      </w:r>
    </w:p>
    <w:p w:rsidR="00000000" w:rsidDel="00000000" w:rsidP="00000000" w:rsidRDefault="00000000" w:rsidRPr="00000000" w14:paraId="00000024">
      <w:pPr>
        <w:numPr>
          <w:ilvl w:val="0"/>
          <w:numId w:val="9"/>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Work with other SEND staff and curriculum teams to assess student baseline levels and to implement specific strategies for these student in order to allow them the best possible opportunity to maximise their progress throughout secondary school.</w:t>
      </w:r>
      <w:r w:rsidDel="00000000" w:rsidR="00000000" w:rsidRPr="00000000">
        <w:rPr>
          <w:rtl w:val="0"/>
        </w:rPr>
      </w:r>
    </w:p>
    <w:p w:rsidR="00000000" w:rsidDel="00000000" w:rsidP="00000000" w:rsidRDefault="00000000" w:rsidRPr="00000000" w14:paraId="00000025">
      <w:pPr>
        <w:numPr>
          <w:ilvl w:val="0"/>
          <w:numId w:val="9"/>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Plan high quality lessons and learning experiences as appropriate and deliver consistently teaching and learning opportunities that are adapted to suit the needs of learners</w:t>
      </w:r>
      <w:r w:rsidDel="00000000" w:rsidR="00000000" w:rsidRPr="00000000">
        <w:rPr>
          <w:rtl w:val="0"/>
        </w:rPr>
      </w:r>
    </w:p>
    <w:p w:rsidR="00000000" w:rsidDel="00000000" w:rsidP="00000000" w:rsidRDefault="00000000" w:rsidRPr="00000000" w14:paraId="00000026">
      <w:pPr>
        <w:numPr>
          <w:ilvl w:val="0"/>
          <w:numId w:val="9"/>
        </w:numPr>
        <w:shd w:fill="ffffff" w:val="clea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0b0c0c"/>
          <w:rtl w:val="0"/>
        </w:rPr>
        <w:t xml:space="preserve">Undertake responsibility as school lead for a specific specialism including EAL, Autism, ASD or ELSA leading interventions, liaising with families and overseeing Assess Plan Do Review cycles for the students</w:t>
      </w:r>
      <w:r w:rsidDel="00000000" w:rsidR="00000000" w:rsidRPr="00000000">
        <w:rPr>
          <w:rtl w:val="0"/>
        </w:rPr>
      </w:r>
    </w:p>
    <w:p w:rsidR="00000000" w:rsidDel="00000000" w:rsidP="00000000" w:rsidRDefault="00000000" w:rsidRPr="00000000" w14:paraId="00000027">
      <w:pPr>
        <w:numPr>
          <w:ilvl w:val="0"/>
          <w:numId w:val="9"/>
        </w:numPr>
        <w:shd w:fill="ffffff" w:val="clear"/>
        <w:spacing w:after="0" w:line="240" w:lineRule="auto"/>
        <w:ind w:left="720" w:hanging="360"/>
        <w:rPr>
          <w:rFonts w:ascii="Century Gothic" w:cs="Century Gothic" w:eastAsia="Century Gothic" w:hAnsi="Century Gothic"/>
          <w:color w:val="0b0c0c"/>
        </w:rPr>
      </w:pPr>
      <w:r w:rsidDel="00000000" w:rsidR="00000000" w:rsidRPr="00000000">
        <w:rPr>
          <w:rFonts w:ascii="Century Gothic" w:cs="Century Gothic" w:eastAsia="Century Gothic" w:hAnsi="Century Gothic"/>
          <w:color w:val="0b0c0c"/>
          <w:rtl w:val="0"/>
        </w:rPr>
        <w:t xml:space="preserve">Support the attendance team and pastoral leads in school in reducing student barriers to attendance and working closely with families of a cohort of students. </w:t>
      </w:r>
    </w:p>
    <w:p w:rsidR="00000000" w:rsidDel="00000000" w:rsidP="00000000" w:rsidRDefault="00000000" w:rsidRPr="00000000" w14:paraId="00000028">
      <w:pPr>
        <w:numPr>
          <w:ilvl w:val="0"/>
          <w:numId w:val="9"/>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Undertake an appropriate programme of teaching, focussing primarily upon the needs of the individual students and how best to make maximum progress  </w:t>
      </w:r>
      <w:r w:rsidDel="00000000" w:rsidR="00000000" w:rsidRPr="00000000">
        <w:rPr>
          <w:rtl w:val="0"/>
        </w:rPr>
      </w:r>
    </w:p>
    <w:p w:rsidR="00000000" w:rsidDel="00000000" w:rsidP="00000000" w:rsidRDefault="00000000" w:rsidRPr="00000000" w14:paraId="00000029">
      <w:pPr>
        <w:numPr>
          <w:ilvl w:val="0"/>
          <w:numId w:val="9"/>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Develop appropriate syllabuses, resources, schemes of work, marking policies and teaching strategies to support transition into a full curriculum</w:t>
      </w:r>
      <w:r w:rsidDel="00000000" w:rsidR="00000000" w:rsidRPr="00000000">
        <w:rPr>
          <w:rtl w:val="0"/>
        </w:rPr>
      </w:r>
    </w:p>
    <w:p w:rsidR="00000000" w:rsidDel="00000000" w:rsidP="00000000" w:rsidRDefault="00000000" w:rsidRPr="00000000" w14:paraId="0000002A">
      <w:pPr>
        <w:numPr>
          <w:ilvl w:val="0"/>
          <w:numId w:val="9"/>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Provide, or contribute to, oral and written assessments, reports and references relating to individual students and groups of students</w:t>
      </w:r>
      <w:r w:rsidDel="00000000" w:rsidR="00000000" w:rsidRPr="00000000">
        <w:rPr>
          <w:rtl w:val="0"/>
        </w:rPr>
      </w:r>
    </w:p>
    <w:p w:rsidR="00000000" w:rsidDel="00000000" w:rsidP="00000000" w:rsidRDefault="00000000" w:rsidRPr="00000000" w14:paraId="0000002B">
      <w:pPr>
        <w:numPr>
          <w:ilvl w:val="0"/>
          <w:numId w:val="9"/>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Ensure that ICT, Literacy, Numeracy and school subject specialism(s) are reflected in the teaching/learning experience of students</w:t>
      </w:r>
      <w:r w:rsidDel="00000000" w:rsidR="00000000" w:rsidRPr="00000000">
        <w:rPr>
          <w:rtl w:val="0"/>
        </w:rPr>
      </w:r>
    </w:p>
    <w:p w:rsidR="00000000" w:rsidDel="00000000" w:rsidP="00000000" w:rsidRDefault="00000000" w:rsidRPr="00000000" w14:paraId="0000002C">
      <w:pPr>
        <w:numPr>
          <w:ilvl w:val="0"/>
          <w:numId w:val="9"/>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Maintain discipline in accordance with the school’s procedures, and to encourage good practice with regard to punctuality, behaviour, standards of work and homework</w:t>
      </w: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Planning</w:t>
      </w:r>
    </w:p>
    <w:p w:rsidR="00000000" w:rsidDel="00000000" w:rsidP="00000000" w:rsidRDefault="00000000" w:rsidRPr="00000000" w14:paraId="0000002E">
      <w:pPr>
        <w:numPr>
          <w:ilvl w:val="0"/>
          <w:numId w:val="1"/>
        </w:numPr>
        <w:spacing w:after="0" w:line="240" w:lineRule="auto"/>
        <w:ind w:left="567"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assist in the development of appropriate syllabuses, resources, schemes of work, marking policies and teaching strategies in the Department</w:t>
      </w:r>
    </w:p>
    <w:p w:rsidR="00000000" w:rsidDel="00000000" w:rsidP="00000000" w:rsidRDefault="00000000" w:rsidRPr="00000000" w14:paraId="0000002F">
      <w:pPr>
        <w:numPr>
          <w:ilvl w:val="0"/>
          <w:numId w:val="1"/>
        </w:numPr>
        <w:spacing w:after="0" w:line="240" w:lineRule="auto"/>
        <w:ind w:left="567"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contribute to the Department’s development plan and its implementation</w:t>
      </w:r>
    </w:p>
    <w:p w:rsidR="00000000" w:rsidDel="00000000" w:rsidP="00000000" w:rsidRDefault="00000000" w:rsidRPr="00000000" w14:paraId="00000030">
      <w:pPr>
        <w:numPr>
          <w:ilvl w:val="0"/>
          <w:numId w:val="1"/>
        </w:numPr>
        <w:spacing w:after="0" w:line="240" w:lineRule="auto"/>
        <w:ind w:left="567"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use learning to develop new and effective approaches to teaching and learning across the SEN area and whole school </w:t>
      </w:r>
    </w:p>
    <w:p w:rsidR="00000000" w:rsidDel="00000000" w:rsidP="00000000" w:rsidRDefault="00000000" w:rsidRPr="00000000" w14:paraId="0000003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Communications and Liaison</w:t>
      </w:r>
    </w:p>
    <w:p w:rsidR="00000000" w:rsidDel="00000000" w:rsidP="00000000" w:rsidRDefault="00000000" w:rsidRPr="00000000" w14:paraId="00000033">
      <w:pPr>
        <w:numPr>
          <w:ilvl w:val="0"/>
          <w:numId w:val="2"/>
        </w:numPr>
        <w:spacing w:after="0" w:line="240" w:lineRule="auto"/>
        <w:ind w:left="567"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communicate effectively with the parents of students as appropriate</w:t>
      </w:r>
    </w:p>
    <w:p w:rsidR="00000000" w:rsidDel="00000000" w:rsidP="00000000" w:rsidRDefault="00000000" w:rsidRPr="00000000" w14:paraId="00000034">
      <w:pPr>
        <w:numPr>
          <w:ilvl w:val="0"/>
          <w:numId w:val="2"/>
        </w:numPr>
        <w:spacing w:after="0" w:line="240" w:lineRule="auto"/>
        <w:ind w:left="567"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where appropriate, to communicate and co-operate with external agencies and primary schools</w:t>
      </w:r>
    </w:p>
    <w:p w:rsidR="00000000" w:rsidDel="00000000" w:rsidP="00000000" w:rsidRDefault="00000000" w:rsidRPr="00000000" w14:paraId="00000035">
      <w:pPr>
        <w:spacing w:after="0" w:line="24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6">
      <w:pPr>
        <w:spacing w:after="0"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Transition</w:t>
      </w:r>
    </w:p>
    <w:p w:rsidR="00000000" w:rsidDel="00000000" w:rsidP="00000000" w:rsidRDefault="00000000" w:rsidRPr="00000000" w14:paraId="00000037">
      <w:pPr>
        <w:spacing w:after="0" w:line="24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8">
      <w:pPr>
        <w:numPr>
          <w:ilvl w:val="0"/>
          <w:numId w:val="3"/>
        </w:numPr>
        <w:spacing w:after="0" w:line="240" w:lineRule="auto"/>
        <w:ind w:left="567"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visit primary schools to gather information and meet students when they are in Year 6 prior to them starting at The Kingsway School</w:t>
      </w:r>
    </w:p>
    <w:p w:rsidR="00000000" w:rsidDel="00000000" w:rsidP="00000000" w:rsidRDefault="00000000" w:rsidRPr="00000000" w14:paraId="00000039">
      <w:pPr>
        <w:numPr>
          <w:ilvl w:val="0"/>
          <w:numId w:val="3"/>
        </w:numPr>
        <w:spacing w:after="0" w:line="240" w:lineRule="auto"/>
        <w:ind w:left="567"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support additional transition visits</w:t>
      </w:r>
    </w:p>
    <w:p w:rsidR="00000000" w:rsidDel="00000000" w:rsidP="00000000" w:rsidRDefault="00000000" w:rsidRPr="00000000" w14:paraId="0000003A">
      <w:pPr>
        <w:numPr>
          <w:ilvl w:val="0"/>
          <w:numId w:val="3"/>
        </w:numPr>
        <w:spacing w:after="0" w:line="240" w:lineRule="auto"/>
        <w:ind w:left="567"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When appropriate to meet with parents and attend EHCP/SEND reviews</w:t>
      </w:r>
    </w:p>
    <w:p w:rsidR="00000000" w:rsidDel="00000000" w:rsidP="00000000" w:rsidRDefault="00000000" w:rsidRPr="00000000" w14:paraId="0000003B">
      <w:pPr>
        <w:numPr>
          <w:ilvl w:val="0"/>
          <w:numId w:val="3"/>
        </w:numPr>
        <w:spacing w:after="0" w:line="240" w:lineRule="auto"/>
        <w:ind w:left="567"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 with organising timetables when students are moving from the transition group into mainstream lessons</w:t>
      </w:r>
    </w:p>
    <w:p w:rsidR="00000000" w:rsidDel="00000000" w:rsidP="00000000" w:rsidRDefault="00000000" w:rsidRPr="00000000" w14:paraId="0000003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D">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General</w:t>
      </w:r>
    </w:p>
    <w:p w:rsidR="00000000" w:rsidDel="00000000" w:rsidP="00000000" w:rsidRDefault="00000000" w:rsidRPr="00000000" w14:paraId="0000003E">
      <w:pPr>
        <w:numPr>
          <w:ilvl w:val="0"/>
          <w:numId w:val="8"/>
        </w:numPr>
        <w:pBdr>
          <w:top w:space="0" w:sz="0" w:val="nil"/>
          <w:left w:space="0" w:sz="0" w:val="nil"/>
          <w:bottom w:space="0" w:sz="0" w:val="nil"/>
          <w:right w:space="0" w:sz="0" w:val="nil"/>
          <w:between w:space="0" w:sz="0" w:val="nil"/>
        </w:pBdr>
        <w:spacing w:after="0" w:line="240" w:lineRule="auto"/>
        <w:ind w:left="567"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be aware of and comply with policies and procedures relating to child protection, safeguarding, health and safety, security, confidentiality and data protection, reporting all concerns to an appropriate person as soon as they arise</w:t>
      </w:r>
    </w:p>
    <w:p w:rsidR="00000000" w:rsidDel="00000000" w:rsidP="00000000" w:rsidRDefault="00000000" w:rsidRPr="00000000" w14:paraId="0000003F">
      <w:pPr>
        <w:numPr>
          <w:ilvl w:val="0"/>
          <w:numId w:val="8"/>
        </w:numPr>
        <w:pBdr>
          <w:top w:space="0" w:sz="0" w:val="nil"/>
          <w:left w:space="0" w:sz="0" w:val="nil"/>
          <w:bottom w:space="0" w:sz="0" w:val="nil"/>
          <w:right w:space="0" w:sz="0" w:val="nil"/>
          <w:between w:space="0" w:sz="0" w:val="nil"/>
        </w:pBdr>
        <w:spacing w:after="0" w:line="240" w:lineRule="auto"/>
        <w:ind w:left="567"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Actively promote equal opportunities and support the delivery of services which are accessible and appropriate to the diverse needs of service users. </w:t>
      </w:r>
    </w:p>
    <w:p w:rsidR="00000000" w:rsidDel="00000000" w:rsidP="00000000" w:rsidRDefault="00000000" w:rsidRPr="00000000" w14:paraId="00000040">
      <w:pPr>
        <w:numPr>
          <w:ilvl w:val="0"/>
          <w:numId w:val="8"/>
        </w:numPr>
        <w:pBdr>
          <w:top w:space="0" w:sz="0" w:val="nil"/>
          <w:left w:space="0" w:sz="0" w:val="nil"/>
          <w:bottom w:space="0" w:sz="0" w:val="nil"/>
          <w:right w:space="0" w:sz="0" w:val="nil"/>
          <w:between w:space="0" w:sz="0" w:val="nil"/>
        </w:pBdr>
        <w:spacing w:after="0" w:line="240" w:lineRule="auto"/>
        <w:ind w:left="567"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participate in training and other learning activities and the school’s performance management process</w:t>
      </w:r>
    </w:p>
    <w:p w:rsidR="00000000" w:rsidDel="00000000" w:rsidP="00000000" w:rsidRDefault="00000000" w:rsidRPr="00000000" w14:paraId="00000041">
      <w:pPr>
        <w:numPr>
          <w:ilvl w:val="0"/>
          <w:numId w:val="8"/>
        </w:numPr>
        <w:pBdr>
          <w:top w:space="0" w:sz="0" w:val="nil"/>
          <w:left w:space="0" w:sz="0" w:val="nil"/>
          <w:bottom w:space="0" w:sz="0" w:val="nil"/>
          <w:right w:space="0" w:sz="0" w:val="nil"/>
          <w:between w:space="0" w:sz="0" w:val="nil"/>
        </w:pBdr>
        <w:spacing w:after="0" w:line="240" w:lineRule="auto"/>
        <w:ind w:left="567"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The post holder will be expected to work flexibly and carry out all duties in compliance with the School Policies</w:t>
      </w:r>
    </w:p>
    <w:p w:rsidR="00000000" w:rsidDel="00000000" w:rsidP="00000000" w:rsidRDefault="00000000" w:rsidRPr="00000000" w14:paraId="00000042">
      <w:pPr>
        <w:numPr>
          <w:ilvl w:val="0"/>
          <w:numId w:val="8"/>
        </w:numPr>
        <w:pBdr>
          <w:top w:space="0" w:sz="0" w:val="nil"/>
          <w:left w:space="0" w:sz="0" w:val="nil"/>
          <w:bottom w:space="0" w:sz="0" w:val="nil"/>
          <w:right w:space="0" w:sz="0" w:val="nil"/>
          <w:between w:space="0" w:sz="0" w:val="nil"/>
        </w:pBdr>
        <w:spacing w:after="0" w:line="240" w:lineRule="auto"/>
        <w:ind w:left="567"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Any other duties and responsibilities within the range of the salary grade.</w:t>
      </w:r>
    </w:p>
    <w:p w:rsidR="00000000" w:rsidDel="00000000" w:rsidP="00000000" w:rsidRDefault="00000000" w:rsidRPr="00000000" w14:paraId="0000004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4">
      <w:pPr>
        <w:rPr>
          <w:rFonts w:ascii="Century Gothic" w:cs="Century Gothic" w:eastAsia="Century Gothic" w:hAnsi="Century Gothic"/>
        </w:rPr>
      </w:pPr>
      <w:r w:rsidDel="00000000" w:rsidR="00000000" w:rsidRPr="00000000">
        <w:rPr>
          <w:rFonts w:ascii="Century Gothic" w:cs="Century Gothic" w:eastAsia="Century Gothic" w:hAnsi="Century Gothic"/>
          <w:b w:val="1"/>
          <w:bCs w:val="1"/>
          <w:u w:val="single"/>
          <w:rtl w:val="0"/>
        </w:rPr>
        <w:t xml:space="preserve">Contacts</w:t>
      </w:r>
      <w:r w:rsidDel="00000000" w:rsidR="00000000" w:rsidRPr="00000000">
        <w:rPr>
          <w:rtl w:val="0"/>
        </w:rPr>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tabs>
          <w:tab w:val="left" w:leader="none" w:pos="242"/>
        </w:tabs>
        <w:spacing w:after="0" w:line="240" w:lineRule="auto"/>
        <w:ind w:left="720" w:firstLine="169.00000000000006"/>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Regular: Students, teachers, parents/guardians, visitors, administrative staff, external agencies.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rsidR="00000000" w:rsidDel="00000000" w:rsidP="00000000" w:rsidRDefault="00000000" w:rsidRPr="00000000" w14:paraId="0000004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Elements of this job description and changes to it may be negotiated at the request of either the Headteacher or the incumbent of the post.</w:t>
      </w:r>
    </w:p>
    <w:p w:rsidR="00000000" w:rsidDel="00000000" w:rsidP="00000000" w:rsidRDefault="00000000" w:rsidRPr="00000000" w14:paraId="0000004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Key Accountabilities/Primary Responsibilities:</w:t>
      </w:r>
      <w:r w:rsidDel="00000000" w:rsidR="00000000" w:rsidRPr="00000000">
        <w:rPr>
          <w:rtl w:val="0"/>
        </w:rPr>
      </w:r>
    </w:p>
    <w:p w:rsidR="00000000" w:rsidDel="00000000" w:rsidP="00000000" w:rsidRDefault="00000000" w:rsidRPr="00000000" w14:paraId="0000004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 addition, the post holder will undertake any other miscellaneous work, deemed suitable by management of the school, including in the following areas:</w:t>
      </w:r>
    </w:p>
    <w:p w:rsidR="00000000" w:rsidDel="00000000" w:rsidP="00000000" w:rsidRDefault="00000000" w:rsidRPr="00000000" w14:paraId="0000004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Professional Development </w:t>
      </w:r>
      <w:r w:rsidDel="00000000" w:rsidR="00000000" w:rsidRPr="00000000">
        <w:rPr>
          <w:rtl w:val="0"/>
        </w:rPr>
      </w:r>
    </w:p>
    <w:p w:rsidR="00000000" w:rsidDel="00000000" w:rsidP="00000000" w:rsidRDefault="00000000" w:rsidRPr="00000000" w14:paraId="0000004D">
      <w:pPr>
        <w:numPr>
          <w:ilvl w:val="0"/>
          <w:numId w:val="5"/>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Maintain personal professional development to ensure that the knowledge and skills required to fulfil the role are up to date </w:t>
      </w:r>
    </w:p>
    <w:p w:rsidR="00000000" w:rsidDel="00000000" w:rsidP="00000000" w:rsidRDefault="00000000" w:rsidRPr="00000000" w14:paraId="0000004E">
      <w:pPr>
        <w:numPr>
          <w:ilvl w:val="0"/>
          <w:numId w:val="5"/>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 professional role model, and understand and promote the aims and the values of the Trust </w:t>
      </w:r>
    </w:p>
    <w:p w:rsidR="00000000" w:rsidDel="00000000" w:rsidP="00000000" w:rsidRDefault="00000000" w:rsidRPr="00000000" w14:paraId="0000004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Safeguarding and Promoting the Welfare of Children and Young People </w:t>
      </w:r>
      <w:r w:rsidDel="00000000" w:rsidR="00000000" w:rsidRPr="00000000">
        <w:rPr>
          <w:rtl w:val="0"/>
        </w:rPr>
      </w:r>
    </w:p>
    <w:p w:rsidR="00000000" w:rsidDel="00000000" w:rsidP="00000000" w:rsidRDefault="00000000" w:rsidRPr="00000000" w14:paraId="00000050">
      <w:pPr>
        <w:numPr>
          <w:ilvl w:val="0"/>
          <w:numId w:val="6"/>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jobholder is required to adhere to the statutory guidance ‘Keeping Children Safe in Education’ and follow all of the Trust’s policies and procedures in relation to safeguarding at all times. </w:t>
      </w:r>
    </w:p>
    <w:p w:rsidR="00000000" w:rsidDel="00000000" w:rsidP="00000000" w:rsidRDefault="00000000" w:rsidRPr="00000000" w14:paraId="0000005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Data Protection </w:t>
      </w:r>
      <w:r w:rsidDel="00000000" w:rsidR="00000000" w:rsidRPr="00000000">
        <w:rPr>
          <w:rtl w:val="0"/>
        </w:rPr>
      </w:r>
    </w:p>
    <w:p w:rsidR="00000000" w:rsidDel="00000000" w:rsidP="00000000" w:rsidRDefault="00000000" w:rsidRPr="00000000" w14:paraId="00000052">
      <w:pPr>
        <w:numPr>
          <w:ilvl w:val="0"/>
          <w:numId w:val="7"/>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jobholder is expected to comply with the provisions of GDPR and the Data Protection Act 2018, and follow all of the Trust’s information governance policies and procedures at all times. </w:t>
      </w:r>
    </w:p>
    <w:p w:rsidR="00000000" w:rsidDel="00000000" w:rsidP="00000000" w:rsidRDefault="00000000" w:rsidRPr="00000000" w14:paraId="0000005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Equality and Diversity</w:t>
      </w:r>
      <w:r w:rsidDel="00000000" w:rsidR="00000000" w:rsidRPr="00000000">
        <w:rPr>
          <w:rtl w:val="0"/>
        </w:rPr>
      </w:r>
    </w:p>
    <w:p w:rsidR="00000000" w:rsidDel="00000000" w:rsidP="00000000" w:rsidRDefault="00000000" w:rsidRPr="00000000" w14:paraId="00000054">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jobholder is required to treat all people they come into contact with, with dignity and respect, and is entitled to expect this in return. </w:t>
      </w:r>
    </w:p>
    <w:p w:rsidR="00000000" w:rsidDel="00000000" w:rsidP="00000000" w:rsidRDefault="00000000" w:rsidRPr="00000000" w14:paraId="0000005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Trust are committed to fulfilling their Equality Duty obligations, including valuing equality and diversity and we expect all employees to share this commitment. </w:t>
      </w:r>
    </w:p>
    <w:p w:rsidR="00000000" w:rsidDel="00000000" w:rsidP="00000000" w:rsidRDefault="00000000" w:rsidRPr="00000000" w14:paraId="00000056">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Health and Safety </w:t>
      </w:r>
      <w:r w:rsidDel="00000000" w:rsidR="00000000" w:rsidRPr="00000000">
        <w:rPr>
          <w:rtl w:val="0"/>
        </w:rPr>
      </w:r>
    </w:p>
    <w:p w:rsidR="00000000" w:rsidDel="00000000" w:rsidP="00000000" w:rsidRDefault="00000000" w:rsidRPr="00000000" w14:paraId="0000005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jobholder has a duty to take care of their own health and safety and that of others who may be affected by their actions at work. </w:t>
      </w:r>
    </w:p>
    <w:p w:rsidR="00000000" w:rsidDel="00000000" w:rsidP="00000000" w:rsidRDefault="00000000" w:rsidRPr="00000000" w14:paraId="0000005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jobholder must cooperate with the Trust as their employer, and co-workers to help everyone meet their legal requirements and follow the Trust’s health and safety policies and procedures at all times.</w:t>
      </w:r>
    </w:p>
    <w:p w:rsidR="00000000" w:rsidDel="00000000" w:rsidP="00000000" w:rsidRDefault="00000000" w:rsidRPr="00000000" w14:paraId="0000005A">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The particular duties assigned to this post are set out above but should not be regarded as exclusive, or exhaustive.  There will be other duties and requirements associated with your job and, in addition, as a term of your employment you may be required to undertake various other duties as may reasonably be required.  These duties may be reviewed and amended in consultation with the post holder in light of any changes in the requirements and priorities within the Trust/School. Such variations are a common occurrence and cannot of themselves justify a re-evaluation of the post.</w:t>
      </w:r>
      <w:r w:rsidDel="00000000" w:rsidR="00000000" w:rsidRPr="00000000">
        <w:rPr>
          <w:rtl w:val="0"/>
        </w:rPr>
      </w:r>
    </w:p>
    <w:p w:rsidR="00000000" w:rsidDel="00000000" w:rsidP="00000000" w:rsidRDefault="00000000" w:rsidRPr="00000000" w14:paraId="0000005B">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D">
      <w:pPr>
        <w:jc w:val="center"/>
        <w:rPr>
          <w:rFonts w:ascii="Century Gothic" w:cs="Century Gothic" w:eastAsia="Century Gothic" w:hAnsi="Century Gothic"/>
        </w:rPr>
      </w:pP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spacing w:line="162" w:lineRule="auto"/>
      <w:ind w:left="43" w:right="43" w:firstLine="0"/>
      <w:jc w:val="center"/>
      <w:rPr>
        <w:b w:val="1"/>
        <w:bCs w:val="1"/>
        <w:sz w:val="14"/>
        <w:szCs w:val="14"/>
      </w:rPr>
    </w:pPr>
    <w:r w:rsidDel="00000000" w:rsidR="00000000" w:rsidRPr="00000000">
      <w:rPr>
        <w:b w:val="1"/>
        <w:bCs w:val="1"/>
        <w:sz w:val="14"/>
        <w:szCs w:val="14"/>
        <w:rtl w:val="0"/>
      </w:rPr>
      <w:t xml:space="preserve">Education Learning Trust. Registered address: Hawthorn Road, Gatley, Cheadle, Cheshire, SK8 4NB. A charitable company limited by</w:t>
    </w:r>
  </w:p>
  <w:p w:rsidR="00000000" w:rsidDel="00000000" w:rsidP="00000000" w:rsidRDefault="00000000" w:rsidRPr="00000000" w14:paraId="00000060">
    <w:pPr>
      <w:spacing w:line="171" w:lineRule="auto"/>
      <w:ind w:left="42" w:right="43" w:firstLine="0"/>
      <w:jc w:val="center"/>
      <w:rPr>
        <w:b w:val="1"/>
        <w:bCs w:val="1"/>
        <w:sz w:val="14"/>
        <w:szCs w:val="14"/>
      </w:rPr>
    </w:pPr>
    <w:r w:rsidDel="00000000" w:rsidR="00000000" w:rsidRPr="00000000">
      <w:rPr>
        <w:b w:val="1"/>
        <w:bCs w:val="1"/>
        <w:sz w:val="14"/>
        <w:szCs w:val="14"/>
        <w:rtl w:val="0"/>
      </w:rPr>
      <w:t xml:space="preserve">guarantee registered in England and Wales (company number: 09142319)</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margin">
            <wp:posOffset>4362450</wp:posOffset>
          </wp:positionH>
          <wp:positionV relativeFrom="topMargin">
            <wp:posOffset>455930</wp:posOffset>
          </wp:positionV>
          <wp:extent cx="1830083" cy="765386"/>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30083" cy="765386"/>
                  </a:xfrm>
                  <a:prstGeom prst="rect"/>
                  <a:ln/>
                </pic:spPr>
              </pic:pic>
            </a:graphicData>
          </a:graphic>
        </wp:anchor>
      </w:drawing>
    </w:r>
    <w:r w:rsidDel="00000000" w:rsidR="00000000" w:rsidRPr="00000000">
      <w:rPr>
        <w:color w:val="000000"/>
      </w:rPr>
      <w:drawing>
        <wp:inline distB="0" distT="0" distL="0" distR="0">
          <wp:extent cx="1133475" cy="1095375"/>
          <wp:effectExtent b="0" l="0" r="0" t="0"/>
          <wp:docPr descr="Kingsway master logo 2" id="2" name="image1.jpg"/>
          <a:graphic>
            <a:graphicData uri="http://schemas.openxmlformats.org/drawingml/2006/picture">
              <pic:pic>
                <pic:nvPicPr>
                  <pic:cNvPr descr="Kingsway master logo 2" id="0" name="image1.jpg"/>
                  <pic:cNvPicPr preferRelativeResize="0"/>
                </pic:nvPicPr>
                <pic:blipFill>
                  <a:blip r:embed="rId2"/>
                  <a:srcRect b="0" l="0" r="0" t="0"/>
                  <a:stretch>
                    <a:fillRect/>
                  </a:stretch>
                </pic:blipFill>
                <pic:spPr>
                  <a:xfrm>
                    <a:off x="0" y="0"/>
                    <a:ext cx="1133475" cy="10953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Arial" w:cs="Arial" w:eastAsia="Arial" w:hAnsi="Arial"/>
        <w:color w:val="0b0c0c"/>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