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78F" w:rsidP="00154270" w:rsidRDefault="0089778F" w14:paraId="0AB1D7C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Harmony Trust</w:t>
      </w:r>
    </w:p>
    <w:p w:rsidR="00154270" w:rsidP="00154270" w:rsidRDefault="0089778F" w14:paraId="2D053036" w14:textId="00AD12A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Job Description</w:t>
      </w:r>
    </w:p>
    <w:p w:rsidR="00154270" w:rsidP="00154270" w:rsidRDefault="00154270" w14:paraId="08109B9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8"/>
          <w:szCs w:val="18"/>
        </w:rPr>
      </w:pPr>
    </w:p>
    <w:tbl>
      <w:tblPr>
        <w:tblW w:w="9361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6"/>
      </w:tblGrid>
      <w:tr w:rsidRPr="00D90F7D" w:rsidR="00154270" w:rsidTr="2BD05840" w14:paraId="211FD92C" w14:textId="77777777">
        <w:trPr>
          <w:trHeight w:val="1005"/>
        </w:trPr>
        <w:tc>
          <w:tcPr>
            <w:tcW w:w="93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3B1757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D90F7D" w:rsidR="00154270" w:rsidP="72BF90E7" w:rsidRDefault="00154270" w14:paraId="09872840" w14:textId="214162A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Job Title: </w:t>
            </w:r>
            <w:r w:rsidRPr="00D90F7D">
              <w:rPr>
                <w:rFonts w:asciiTheme="minorHAnsi" w:hAnsiTheme="minorHAnsi" w:cstheme="minorHAnsi"/>
                <w:b/>
                <w:bCs/>
              </w:rPr>
              <w:t>Inclusion Hub Teacher</w:t>
            </w:r>
          </w:p>
        </w:tc>
      </w:tr>
      <w:tr w:rsidRPr="00D90F7D" w:rsidR="00154270" w:rsidTr="2BD05840" w14:paraId="2D591D28" w14:textId="77777777">
        <w:trPr>
          <w:trHeight w:val="1010"/>
        </w:trPr>
        <w:tc>
          <w:tcPr>
            <w:tcW w:w="48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5DDB30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D90F7D" w:rsidR="00154270" w:rsidP="72BF90E7" w:rsidRDefault="00154270" w14:paraId="3CD1E583" w14:textId="60AC74B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Teachers Main Pay Scale or Upper Pay Scale + SEN </w:t>
            </w:r>
            <w:r w:rsidRPr="00507C7B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Allowance</w:t>
            </w:r>
            <w:r w:rsidRPr="00507C7B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  <w:r w:rsidRPr="00507C7B" w:rsidR="00507C7B">
              <w:rPr>
                <w:rStyle w:val="eop"/>
                <w:rFonts w:asciiTheme="minorHAnsi" w:hAnsiTheme="minorHAnsi" w:cstheme="minorHAnsi"/>
                <w:b/>
                <w:bCs/>
              </w:rPr>
              <w:t>+ TLR (Hub SENDCo)</w:t>
            </w:r>
          </w:p>
        </w:tc>
        <w:tc>
          <w:tcPr>
            <w:tcW w:w="44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7EEE15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:rsidRPr="00D90F7D" w:rsidR="00154270" w:rsidP="2BD05840" w:rsidRDefault="00154270" w14:paraId="57608848" w14:textId="19E8374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highlight w:val="yellow"/>
              </w:rPr>
            </w:pPr>
          </w:p>
        </w:tc>
      </w:tr>
      <w:tr w:rsidRPr="00D90F7D" w:rsidR="00154270" w:rsidTr="2BD05840" w14:paraId="67672DA7" w14:textId="77777777">
        <w:trPr>
          <w:trHeight w:val="1305"/>
        </w:trPr>
        <w:tc>
          <w:tcPr>
            <w:tcW w:w="48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4EC049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D90F7D" w:rsidR="0089778F" w:rsidP="72BF90E7" w:rsidRDefault="0089778F" w14:paraId="30735938" w14:textId="1ABF37E5">
            <w:pPr>
              <w:rPr>
                <w:rFonts w:asciiTheme="minorHAnsi" w:hAnsiTheme="minorHAnsi" w:cstheme="minorHAnsi"/>
              </w:rPr>
            </w:pPr>
            <w:r w:rsidRPr="00D90F7D">
              <w:rPr>
                <w:rFonts w:asciiTheme="minorHAnsi" w:hAnsiTheme="minorHAnsi" w:cstheme="minorHAnsi"/>
                <w:b/>
                <w:bCs/>
              </w:rPr>
              <w:t>Responsible to:</w:t>
            </w:r>
            <w:r w:rsidRPr="00D90F7D">
              <w:rPr>
                <w:rFonts w:asciiTheme="minorHAnsi" w:hAnsiTheme="minorHAnsi" w:cstheme="minorHAnsi"/>
              </w:rPr>
              <w:t xml:space="preserve"> </w:t>
            </w:r>
            <w:r w:rsidR="00507C7B">
              <w:rPr>
                <w:rFonts w:asciiTheme="minorHAnsi" w:hAnsiTheme="minorHAnsi" w:cstheme="minorHAnsi"/>
              </w:rPr>
              <w:t>Director of Education / Assistant Director Inclusive Education</w:t>
            </w:r>
          </w:p>
          <w:p w:rsidRPr="00D90F7D" w:rsidR="00154270" w:rsidP="72BF90E7" w:rsidRDefault="00154270" w14:paraId="41D7F40D" w14:textId="0A66A8B4">
            <w:pPr>
              <w:pStyle w:val="paragraph"/>
              <w:spacing w:before="0" w:beforeAutospacing="0" w:after="0" w:afterAutospacing="0"/>
              <w:ind w:left="105" w:right="9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44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14BA6E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D90F7D" w:rsidR="00154270" w:rsidP="72BF90E7" w:rsidRDefault="00154270" w14:paraId="4F1B5A61" w14:textId="7AB42CE8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lang w:val="en-US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Responsible for:  </w:t>
            </w:r>
            <w:r w:rsidRPr="00D90F7D" w:rsidR="0089778F">
              <w:rPr>
                <w:rStyle w:val="normaltextrun"/>
                <w:rFonts w:asciiTheme="minorHAnsi" w:hAnsiTheme="minorHAnsi" w:cstheme="minorHAnsi"/>
                <w:lang w:val="en-US"/>
              </w:rPr>
              <w:t>Teaching within the Inclusion Service Team, upholding</w:t>
            </w:r>
            <w:r w:rsidR="00D90F7D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the</w:t>
            </w:r>
            <w:r w:rsidRPr="00D90F7D" w:rsidR="0089778F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inclusive vision and values of the trust</w:t>
            </w:r>
            <w:r w:rsidR="00E47D56">
              <w:rPr>
                <w:rStyle w:val="normaltextrun"/>
                <w:rFonts w:asciiTheme="minorHAnsi" w:hAnsiTheme="minorHAnsi" w:cstheme="minorHAnsi"/>
                <w:lang w:val="en-US"/>
              </w:rPr>
              <w:t>.</w:t>
            </w:r>
            <w:r w:rsidR="00E47D56">
              <w:rPr>
                <w:rStyle w:val="normaltextrun"/>
                <w:lang w:val="en-US"/>
              </w:rPr>
              <w:t xml:space="preserve"> SENDCo for Inclusion Hub pupils. </w:t>
            </w:r>
          </w:p>
        </w:tc>
      </w:tr>
      <w:tr w:rsidRPr="00D90F7D" w:rsidR="00154270" w:rsidTr="2BD05840" w14:paraId="6CEB0792" w14:textId="77777777">
        <w:trPr>
          <w:trHeight w:val="1215"/>
        </w:trPr>
        <w:tc>
          <w:tcPr>
            <w:tcW w:w="936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D90F7D" w:rsidR="00154270" w:rsidP="72BF90E7" w:rsidRDefault="00154270" w14:paraId="7C4F47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  <w:p w:rsidRPr="00D90F7D" w:rsidR="00154270" w:rsidP="72BF90E7" w:rsidRDefault="00154270" w14:paraId="087789B8" w14:textId="77777777">
            <w:pPr>
              <w:pStyle w:val="paragraph"/>
              <w:spacing w:before="0" w:beforeAutospacing="0" w:after="0" w:afterAutospacing="0"/>
              <w:ind w:left="105" w:right="90"/>
              <w:jc w:val="both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D90F7D"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 xml:space="preserve">Job Description - </w:t>
            </w:r>
            <w:r w:rsidRPr="00D90F7D">
              <w:rPr>
                <w:rStyle w:val="normaltextrun"/>
                <w:rFonts w:asciiTheme="minorHAnsi" w:hAnsiTheme="minorHAnsi" w:cstheme="minorHAnsi"/>
                <w:lang w:val="en-US"/>
              </w:rPr>
              <w:t>This job description is based on the Teachers Standards and may be amended at any time following consultation between the post holder, Leadership Team and Board of Trustees.</w:t>
            </w:r>
            <w:r w:rsidRPr="00D90F7D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</w:tbl>
    <w:p w:rsidRPr="00E47D56" w:rsidR="00665BDA" w:rsidP="00E47D56" w:rsidRDefault="00154270" w14:paraId="388EAB7E" w14:textId="1A8C136F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Pr="00352697" w:rsidR="00885698" w:rsidP="00885698" w:rsidRDefault="00885698" w14:paraId="33F64F72" w14:textId="77777777">
      <w:pPr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b/>
          <w:bCs/>
        </w:rPr>
        <w:t>Job Purpose:</w:t>
      </w:r>
      <w:r w:rsidRPr="00352697">
        <w:rPr>
          <w:rFonts w:asciiTheme="minorHAnsi" w:hAnsiTheme="minorHAnsi" w:cstheme="minorHAnsi"/>
        </w:rPr>
        <w:t xml:space="preserve"> </w:t>
      </w:r>
    </w:p>
    <w:p w:rsidRPr="00352697" w:rsidR="00885698" w:rsidP="00885698" w:rsidRDefault="00885698" w14:paraId="0B528EB3" w14:textId="0A4F1BA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offer all pupils an effective</w:t>
      </w:r>
      <w:r w:rsidR="0009254B">
        <w:rPr>
          <w:rFonts w:cstheme="minorHAnsi"/>
          <w:sz w:val="24"/>
          <w:szCs w:val="24"/>
        </w:rPr>
        <w:t>, safe, nurt</w:t>
      </w:r>
      <w:r w:rsidR="00154270">
        <w:rPr>
          <w:rFonts w:cstheme="minorHAnsi"/>
          <w:sz w:val="24"/>
          <w:szCs w:val="24"/>
        </w:rPr>
        <w:t>ur</w:t>
      </w:r>
      <w:r w:rsidR="0009254B">
        <w:rPr>
          <w:rFonts w:cstheme="minorHAnsi"/>
          <w:sz w:val="24"/>
          <w:szCs w:val="24"/>
        </w:rPr>
        <w:t>ing</w:t>
      </w:r>
      <w:r w:rsidRPr="00352697">
        <w:rPr>
          <w:rFonts w:cstheme="minorHAnsi"/>
          <w:sz w:val="24"/>
          <w:szCs w:val="24"/>
        </w:rPr>
        <w:t xml:space="preserve"> education in</w:t>
      </w:r>
      <w:r w:rsidR="0009254B">
        <w:rPr>
          <w:rFonts w:cstheme="minorHAnsi"/>
          <w:sz w:val="24"/>
          <w:szCs w:val="24"/>
        </w:rPr>
        <w:t xml:space="preserve"> an </w:t>
      </w:r>
      <w:r w:rsidRPr="00352697">
        <w:rPr>
          <w:rFonts w:cstheme="minorHAnsi"/>
          <w:sz w:val="24"/>
          <w:szCs w:val="24"/>
        </w:rPr>
        <w:t>environment</w:t>
      </w:r>
      <w:r w:rsidR="0009254B">
        <w:rPr>
          <w:rFonts w:cstheme="minorHAnsi"/>
          <w:sz w:val="24"/>
          <w:szCs w:val="24"/>
        </w:rPr>
        <w:t xml:space="preserve"> appropriate to need</w:t>
      </w:r>
      <w:r w:rsidRPr="00352697">
        <w:rPr>
          <w:rFonts w:cstheme="minorHAnsi"/>
          <w:sz w:val="24"/>
          <w:szCs w:val="24"/>
        </w:rPr>
        <w:t>, providing equality of opportunity to all, in line with Academy/Trust policies</w:t>
      </w:r>
    </w:p>
    <w:p w:rsidRPr="00352697" w:rsidR="0009254B" w:rsidP="0009254B" w:rsidRDefault="0009254B" w14:paraId="0EFD3016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To deliver a specialist curriculum based on pupils needs including EHCPs and specific SEND assessment tools.</w:t>
      </w:r>
    </w:p>
    <w:p w:rsidR="0009254B" w:rsidP="00885698" w:rsidRDefault="0009254B" w14:paraId="0F20409D" w14:textId="28018B6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plan learning opportunities that enable pupils to meet their EHCP outcomes</w:t>
      </w:r>
    </w:p>
    <w:p w:rsidRPr="00352697" w:rsidR="00885698" w:rsidP="00885698" w:rsidRDefault="00885698" w14:paraId="79392B09" w14:textId="0F501BD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To deliver the National / Foundation Stage Curriculum </w:t>
      </w:r>
      <w:r w:rsidR="0009254B">
        <w:rPr>
          <w:rFonts w:cstheme="minorHAnsi"/>
          <w:sz w:val="24"/>
          <w:szCs w:val="24"/>
        </w:rPr>
        <w:t>if</w:t>
      </w:r>
      <w:r w:rsidRPr="00352697">
        <w:rPr>
          <w:rFonts w:cstheme="minorHAnsi"/>
          <w:sz w:val="24"/>
          <w:szCs w:val="24"/>
        </w:rPr>
        <w:t xml:space="preserve"> appropriate.</w:t>
      </w:r>
    </w:p>
    <w:p w:rsidR="00885698" w:rsidP="00885698" w:rsidRDefault="00885698" w14:paraId="085269F4" w14:textId="01664B55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To work in partnership with pupils, parents,</w:t>
      </w:r>
      <w:r w:rsidR="0009254B">
        <w:rPr>
          <w:rFonts w:cstheme="minorHAnsi"/>
          <w:sz w:val="24"/>
          <w:szCs w:val="24"/>
        </w:rPr>
        <w:t xml:space="preserve"> leaders,  Trustees,</w:t>
      </w:r>
      <w:r w:rsidRPr="00352697">
        <w:rPr>
          <w:rFonts w:cstheme="minorHAnsi"/>
          <w:sz w:val="24"/>
          <w:szCs w:val="24"/>
        </w:rPr>
        <w:t xml:space="preserve"> other staff and support agencies.</w:t>
      </w:r>
    </w:p>
    <w:p w:rsidRPr="002A523A" w:rsidR="002A523A" w:rsidP="002A523A" w:rsidRDefault="002A523A" w14:paraId="7385A1D9" w14:textId="0D5E6767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2A523A">
        <w:rPr>
          <w:sz w:val="24"/>
          <w:szCs w:val="24"/>
        </w:rPr>
        <w:t xml:space="preserve">To </w:t>
      </w:r>
      <w:r w:rsidRPr="002A523A">
        <w:rPr>
          <w:sz w:val="24"/>
          <w:szCs w:val="24"/>
        </w:rPr>
        <w:t>Lead and coordinate the provision for pupils with Special Educational Needs and Disabilities (SEND) across the Inclusion Hub and linked mainstream settings</w:t>
      </w:r>
      <w:r w:rsidRPr="002A523A">
        <w:rPr>
          <w:sz w:val="24"/>
          <w:szCs w:val="24"/>
        </w:rPr>
        <w:t>, e</w:t>
      </w:r>
      <w:r w:rsidRPr="002A523A">
        <w:rPr>
          <w:sz w:val="24"/>
          <w:szCs w:val="24"/>
        </w:rPr>
        <w:t>nsur</w:t>
      </w:r>
      <w:r w:rsidRPr="002A523A">
        <w:rPr>
          <w:sz w:val="24"/>
          <w:szCs w:val="24"/>
        </w:rPr>
        <w:t>ing</w:t>
      </w:r>
      <w:r w:rsidRPr="002A523A">
        <w:rPr>
          <w:sz w:val="24"/>
          <w:szCs w:val="24"/>
        </w:rPr>
        <w:t xml:space="preserve"> compliance with the SEND Code of Practice and statutory requirements.</w:t>
      </w:r>
    </w:p>
    <w:p w:rsidRPr="002A523A" w:rsidR="00885698" w:rsidP="002A523A" w:rsidRDefault="002A523A" w14:paraId="00EFB09B" w14:textId="38DD4F70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2A523A">
        <w:rPr>
          <w:sz w:val="24"/>
          <w:szCs w:val="24"/>
        </w:rPr>
        <w:t>Promote an inclusive ethos that supports pupils’ academic, social, and emotional development.</w:t>
      </w:r>
    </w:p>
    <w:p w:rsidRPr="00352697" w:rsidR="00885698" w:rsidP="00885698" w:rsidRDefault="00885698" w14:paraId="0656C849" w14:textId="77777777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Main Responsibilities:</w:t>
      </w:r>
    </w:p>
    <w:p w:rsidRPr="00352697" w:rsidR="00885698" w:rsidP="00885698" w:rsidRDefault="00885698" w14:paraId="4A4E3ECF" w14:textId="77777777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be expected to plan and deliver a rich, balanced curriculum which:</w:t>
      </w:r>
    </w:p>
    <w:p w:rsidRPr="0009254B" w:rsidR="00885698" w:rsidP="0009254B" w:rsidRDefault="00885698" w14:paraId="5AFABC83" w14:textId="46ECDEC4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Offers pupils equality of opportunity in line with the policies of the </w:t>
      </w:r>
      <w:r w:rsidR="0009254B">
        <w:rPr>
          <w:rFonts w:cstheme="minorHAnsi"/>
          <w:sz w:val="24"/>
          <w:szCs w:val="24"/>
        </w:rPr>
        <w:t>trust</w:t>
      </w:r>
      <w:r w:rsidRPr="00352697">
        <w:rPr>
          <w:rFonts w:cstheme="minorHAnsi"/>
          <w:sz w:val="24"/>
          <w:szCs w:val="24"/>
        </w:rPr>
        <w:t xml:space="preserve"> and the </w:t>
      </w:r>
      <w:r w:rsidR="0009254B">
        <w:rPr>
          <w:rFonts w:cstheme="minorHAnsi"/>
          <w:sz w:val="24"/>
          <w:szCs w:val="24"/>
        </w:rPr>
        <w:t>academy</w:t>
      </w:r>
    </w:p>
    <w:p w:rsidRPr="00352697" w:rsidR="00885698" w:rsidP="00885698" w:rsidRDefault="00885698" w14:paraId="601EC973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Ensures continuity and progression within the work of the hub and the classes to and from which the children may transfer to during different transition stages.</w:t>
      </w:r>
    </w:p>
    <w:p w:rsidRPr="00352697" w:rsidR="00885698" w:rsidP="00885698" w:rsidRDefault="00885698" w14:paraId="18233525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Exploits, in all their teaching, opportunities to develop children's skills within both their primary area of need and additional needs.</w:t>
      </w:r>
    </w:p>
    <w:p w:rsidR="00885698" w:rsidP="0009254B" w:rsidRDefault="00885698" w14:paraId="234B863A" w14:textId="5706A09E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lastRenderedPageBreak/>
        <w:t>Covers subjects of the curriculum which are delivered at an appropriate level to meet</w:t>
      </w:r>
      <w:r w:rsidR="0009254B">
        <w:rPr>
          <w:rFonts w:cstheme="minorHAnsi"/>
          <w:sz w:val="24"/>
          <w:szCs w:val="24"/>
        </w:rPr>
        <w:t xml:space="preserve"> </w:t>
      </w:r>
      <w:r w:rsidRPr="0009254B">
        <w:rPr>
          <w:rFonts w:cstheme="minorHAnsi"/>
          <w:sz w:val="24"/>
          <w:szCs w:val="24"/>
        </w:rPr>
        <w:t>the needs of all the children in the class</w:t>
      </w:r>
      <w:r w:rsidR="0009254B">
        <w:rPr>
          <w:rFonts w:cstheme="minorHAnsi"/>
          <w:sz w:val="24"/>
          <w:szCs w:val="24"/>
        </w:rPr>
        <w:t xml:space="preserve"> as identified in EHCPs</w:t>
      </w:r>
      <w:r w:rsidRPr="0009254B">
        <w:rPr>
          <w:rFonts w:cstheme="minorHAnsi"/>
          <w:sz w:val="24"/>
          <w:szCs w:val="24"/>
        </w:rPr>
        <w:t>.</w:t>
      </w:r>
    </w:p>
    <w:p w:rsidRPr="0009254B" w:rsidR="00D90F7D" w:rsidP="0009254B" w:rsidRDefault="00D90F7D" w14:paraId="25AA21DB" w14:textId="1C7DC6CD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Ensures pupils are safeguarded effectively</w:t>
      </w:r>
    </w:p>
    <w:p w:rsidR="00885698" w:rsidP="00885698" w:rsidRDefault="00885698" w14:paraId="23691878" w14:textId="77777777">
      <w:pPr>
        <w:rPr>
          <w:rFonts w:asciiTheme="minorHAnsi" w:hAnsiTheme="minorHAnsi" w:cstheme="minorHAnsi"/>
        </w:rPr>
      </w:pPr>
    </w:p>
    <w:p w:rsidRPr="00352697" w:rsidR="00D90F7D" w:rsidP="00885698" w:rsidRDefault="00D90F7D" w14:paraId="0C31F385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11DC6C51" w14:textId="77777777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needs to know the children in their care well and to:</w:t>
      </w:r>
    </w:p>
    <w:p w:rsidRPr="00352697" w:rsidR="00885698" w:rsidP="00885698" w:rsidRDefault="00885698" w14:paraId="50342628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Plan lessons, teach and assess pupils in all subjects.</w:t>
      </w:r>
    </w:p>
    <w:p w:rsidRPr="00352697" w:rsidR="00885698" w:rsidP="00885698" w:rsidRDefault="00885698" w14:paraId="7BA8B85A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Observe, assess and record systematically the progress of each child.</w:t>
      </w:r>
    </w:p>
    <w:p w:rsidRPr="00352697" w:rsidR="00885698" w:rsidP="00885698" w:rsidRDefault="00885698" w14:paraId="12B53D26" w14:textId="77777777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Use observations, assessments, and data to inform planning, teaching and record </w:t>
      </w:r>
    </w:p>
    <w:p w:rsidRPr="00352697" w:rsidR="00885698" w:rsidP="00885698" w:rsidRDefault="00885698" w14:paraId="4DF7965F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keeping.</w:t>
      </w:r>
    </w:p>
    <w:p w:rsidRPr="00352697" w:rsidR="00885698" w:rsidP="00885698" w:rsidRDefault="00885698" w14:paraId="2E50A3DD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Provide regular oral and written feedback to parents and pupils on the outcomes of their learning.</w:t>
      </w:r>
    </w:p>
    <w:p w:rsidRPr="00352697" w:rsidR="00885698" w:rsidP="00885698" w:rsidRDefault="00885698" w14:paraId="66AB1798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Prepare and present reports on pupils’ progress to parents.</w:t>
      </w:r>
    </w:p>
    <w:p w:rsidRPr="00352697" w:rsidR="00885698" w:rsidP="00885698" w:rsidRDefault="00885698" w14:paraId="4CB518E8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Identify and respond appropriately to the individual needs of each pupil.</w:t>
      </w:r>
    </w:p>
    <w:p w:rsidRPr="00352697" w:rsidR="00885698" w:rsidP="00885698" w:rsidRDefault="00885698" w14:paraId="5A894B54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601BC78E" w14:textId="77777777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use a wide range of learning and teaching strategies to:</w:t>
      </w:r>
    </w:p>
    <w:p w:rsidRPr="00352697" w:rsidR="00885698" w:rsidP="00885698" w:rsidRDefault="00885698" w14:paraId="24C37DF6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Support pupils’ learning and be aware of the various factors which affect the process.</w:t>
      </w:r>
    </w:p>
    <w:p w:rsidRPr="00352697" w:rsidR="00885698" w:rsidP="00885698" w:rsidRDefault="00885698" w14:paraId="7AC40501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Set appropriate and challenging expectations / targets for the pupils.</w:t>
      </w:r>
    </w:p>
    <w:p w:rsidRPr="00352697" w:rsidR="00885698" w:rsidP="00885698" w:rsidRDefault="00885698" w14:paraId="4D00F1DF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Establish clear expectations of pupils’ behaviour, both in and out of the classroom.</w:t>
      </w:r>
    </w:p>
    <w:p w:rsidRPr="00352697" w:rsidR="00885698" w:rsidP="00885698" w:rsidRDefault="00885698" w14:paraId="384BD141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Create and maintain a purposeful, ordered and supportive environment.</w:t>
      </w:r>
    </w:p>
    <w:p w:rsidRPr="00352697" w:rsidR="00885698" w:rsidP="00885698" w:rsidRDefault="00885698" w14:paraId="4FA76AE7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Ensure that the pupils are engaged, interested and motivated.</w:t>
      </w:r>
    </w:p>
    <w:p w:rsidRPr="00352697" w:rsidR="00885698" w:rsidP="00885698" w:rsidRDefault="00885698" w14:paraId="64BCF3E9" w14:textId="777777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Present learning tasks and curriculum content in an appropriate and stimulating way.</w:t>
      </w:r>
    </w:p>
    <w:p w:rsidRPr="0009254B" w:rsidR="00885698" w:rsidP="0009254B" w:rsidRDefault="00885698" w14:paraId="7AE29CB8" w14:textId="5EC7AA7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Teach whole classes, groups and individuals where appropriate in order to achieve the </w:t>
      </w:r>
      <w:r w:rsidRPr="0009254B">
        <w:rPr>
          <w:rFonts w:cstheme="minorHAnsi"/>
          <w:sz w:val="24"/>
          <w:szCs w:val="24"/>
        </w:rPr>
        <w:t>best outcomes from the pupils.</w:t>
      </w:r>
    </w:p>
    <w:p w:rsidRPr="00352697" w:rsidR="00885698" w:rsidP="00885698" w:rsidRDefault="00885698" w14:paraId="62A33C92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Communicate clearly and effectively with pupils through questioning, instructing, </w:t>
      </w:r>
    </w:p>
    <w:p w:rsidRPr="00352697" w:rsidR="00885698" w:rsidP="00885698" w:rsidRDefault="00885698" w14:paraId="2B57A573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explaining and giving feedback.</w:t>
      </w:r>
    </w:p>
    <w:p w:rsidRPr="00352697" w:rsidR="00885698" w:rsidP="00885698" w:rsidRDefault="00885698" w14:paraId="5C7302A5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Manage effectively and economically their own and pupils time.</w:t>
      </w:r>
    </w:p>
    <w:p w:rsidRPr="00352697" w:rsidR="00885698" w:rsidP="00885698" w:rsidRDefault="00885698" w14:paraId="433953ED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Make constructive and innovative use of ICT and other high quality resources for </w:t>
      </w:r>
    </w:p>
    <w:p w:rsidRPr="00352697" w:rsidR="00885698" w:rsidP="00885698" w:rsidRDefault="00885698" w14:paraId="095578BA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learning.</w:t>
      </w:r>
    </w:p>
    <w:p w:rsidRPr="0009254B" w:rsidR="00885698" w:rsidP="0009254B" w:rsidRDefault="00885698" w14:paraId="7559B121" w14:textId="794B853B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Organise events and trips to enhance the children’s experiences and opportunities for </w:t>
      </w:r>
      <w:r w:rsidRPr="0009254B">
        <w:rPr>
          <w:rFonts w:cstheme="minorHAnsi"/>
          <w:sz w:val="24"/>
          <w:szCs w:val="24"/>
        </w:rPr>
        <w:t>learning.</w:t>
      </w:r>
    </w:p>
    <w:p w:rsidRPr="00352697" w:rsidR="00885698" w:rsidP="00885698" w:rsidRDefault="00885698" w14:paraId="0CED433D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Ensure that the pupils are offered equality of opportunity.</w:t>
      </w:r>
    </w:p>
    <w:p w:rsidRPr="00352697" w:rsidR="00885698" w:rsidP="00885698" w:rsidRDefault="00885698" w14:paraId="05394591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012E8D51" w14:textId="77777777">
      <w:pPr>
        <w:rPr>
          <w:rFonts w:asciiTheme="minorHAnsi" w:hAnsiTheme="minorHAnsi" w:cstheme="minorHAnsi"/>
          <w:b/>
          <w:bCs/>
        </w:rPr>
      </w:pPr>
      <w:r w:rsidRPr="00352697">
        <w:rPr>
          <w:rFonts w:asciiTheme="minorHAnsi" w:hAnsiTheme="minorHAnsi" w:cstheme="minorHAnsi"/>
          <w:b/>
          <w:bCs/>
        </w:rPr>
        <w:t>The teacher will develop through the provision of appropriate training and support:</w:t>
      </w:r>
    </w:p>
    <w:p w:rsidRPr="00352697" w:rsidR="00885698" w:rsidP="00885698" w:rsidRDefault="00885698" w14:paraId="71F01465" w14:textId="7777777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Effective working relationships with professional colleagues, support staff and </w:t>
      </w:r>
    </w:p>
    <w:p w:rsidRPr="00352697" w:rsidR="00885698" w:rsidP="00885698" w:rsidRDefault="00885698" w14:paraId="224B5AD5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parents.</w:t>
      </w:r>
    </w:p>
    <w:p w:rsidRPr="00352697" w:rsidR="00885698" w:rsidP="00885698" w:rsidRDefault="00885698" w14:paraId="3FE87139" w14:textId="77777777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color w:val="000000"/>
          <w:sz w:val="24"/>
          <w:szCs w:val="24"/>
        </w:rPr>
        <w:t>The ability to recognise diversity of talent and interest including that of able pupils.</w:t>
      </w:r>
    </w:p>
    <w:p w:rsidRPr="00352697" w:rsidR="00885698" w:rsidP="00885698" w:rsidRDefault="00885698" w14:paraId="534C7B5C" w14:textId="77777777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identify and provide for pupils with SEND, EAL and specific learning </w:t>
      </w:r>
    </w:p>
    <w:p w:rsidRPr="00352697" w:rsidR="00885698" w:rsidP="00885698" w:rsidRDefault="00885698" w14:paraId="38256897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difficulties.</w:t>
      </w:r>
    </w:p>
    <w:p w:rsidRPr="00352697" w:rsidR="00885698" w:rsidP="00885698" w:rsidRDefault="00885698" w14:paraId="0E2A3F7A" w14:textId="77777777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ability to evaluate pupils learning and recognise how their intervention enables </w:t>
      </w:r>
    </w:p>
    <w:p w:rsidRPr="00352697" w:rsidR="00885698" w:rsidP="00885698" w:rsidRDefault="00885698" w14:paraId="05D1DDE7" w14:textId="77777777">
      <w:pPr>
        <w:pStyle w:val="ListParagraph"/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 xml:space="preserve">the pupils to make good progress. </w:t>
      </w:r>
    </w:p>
    <w:p w:rsidRPr="00352697" w:rsidR="00885698" w:rsidP="00885698" w:rsidRDefault="00885698" w14:paraId="5F3A8B55" w14:textId="77777777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lastRenderedPageBreak/>
        <w:t>A readiness to promote the spiritual, moral, social and cultural development of pupils.</w:t>
      </w:r>
    </w:p>
    <w:p w:rsidRPr="00352697" w:rsidR="00885698" w:rsidP="00885698" w:rsidRDefault="00885698" w14:paraId="6400205B" w14:textId="77777777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352697">
        <w:rPr>
          <w:rFonts w:cstheme="minorHAnsi"/>
          <w:sz w:val="24"/>
          <w:szCs w:val="24"/>
        </w:rPr>
        <w:t>Their professional knowledge, skill and understanding through their continued CPD.</w:t>
      </w:r>
    </w:p>
    <w:p w:rsidR="00885698" w:rsidP="00885698" w:rsidRDefault="00885698" w14:paraId="52CF7BD6" w14:textId="2CD70FF0">
      <w:pPr>
        <w:jc w:val="center"/>
        <w:rPr>
          <w:rFonts w:asciiTheme="minorHAnsi" w:hAnsiTheme="minorHAnsi" w:cstheme="minorHAnsi"/>
          <w:b/>
          <w:bCs/>
        </w:rPr>
      </w:pPr>
    </w:p>
    <w:p w:rsidR="00E058E7" w:rsidP="00E058E7" w:rsidRDefault="00E058E7" w14:paraId="136C6368" w14:textId="4BF3A5A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SENDCo Role</w:t>
      </w:r>
    </w:p>
    <w:p w:rsidRPr="00E058E7" w:rsidR="00E058E7" w:rsidP="00E058E7" w:rsidRDefault="00E058E7" w14:paraId="1F19C45F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Oversee the identification, assessment, and review of pupils with SEND, including those with Education, Health and Care Plans (EHCPs).</w:t>
      </w:r>
    </w:p>
    <w:p w:rsidRPr="00E058E7" w:rsidR="00E058E7" w:rsidP="00E058E7" w:rsidRDefault="00E058E7" w14:paraId="3A8F391E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Develop and implement Individual Education Plans (IEPs) and ensure EHCP outcomes are embedded in teaching.</w:t>
      </w:r>
    </w:p>
    <w:p w:rsidRPr="00E058E7" w:rsidR="00E058E7" w:rsidP="00E058E7" w:rsidRDefault="00E058E7" w14:paraId="238F0E1D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Coordinate interventions and specialist support for pupils with complex needs.</w:t>
      </w:r>
    </w:p>
    <w:p w:rsidRPr="00E058E7" w:rsidR="00E058E7" w:rsidP="00E058E7" w:rsidRDefault="00E058E7" w14:paraId="421D3CB0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Monitor and evaluate the impact of SEND provision and report to senior leaders and governors.</w:t>
      </w:r>
    </w:p>
    <w:p w:rsidRPr="00E058E7" w:rsidR="00E058E7" w:rsidP="00E058E7" w:rsidRDefault="00E058E7" w14:paraId="76ADF0B8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Ensure safeguarding procedures are rigorously applied for all pupils.</w:t>
      </w:r>
    </w:p>
    <w:p w:rsidRPr="00E058E7" w:rsidR="00E058E7" w:rsidP="00E058E7" w:rsidRDefault="00E058E7" w14:paraId="09F8B94F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Liaise with external agencies (e.g., Educational Psychologists, Speech and Language Therapists) to secure appropriate support.</w:t>
      </w:r>
    </w:p>
    <w:p w:rsidRPr="00E058E7" w:rsidR="00E058E7" w:rsidP="00E058E7" w:rsidRDefault="00E058E7" w14:paraId="25E9C5EC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Provide guidance and training to staff on inclusive strategies, differentiation, and SEND best practice.</w:t>
      </w:r>
    </w:p>
    <w:p w:rsidRPr="00E058E7" w:rsidR="00E058E7" w:rsidP="00E058E7" w:rsidRDefault="00E058E7" w14:paraId="145AA762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Maintain accurate records and ensure statutory documentation is completed on time.</w:t>
      </w:r>
    </w:p>
    <w:p w:rsidRPr="00E058E7" w:rsidR="00E058E7" w:rsidP="00E058E7" w:rsidRDefault="00E058E7" w14:paraId="74D41A5D" w14:textId="77777777">
      <w:pPr>
        <w:pStyle w:val="ListBullet"/>
        <w:numPr>
          <w:ilvl w:val="0"/>
          <w:numId w:val="13"/>
        </w:numPr>
        <w:rPr>
          <w:sz w:val="24"/>
          <w:szCs w:val="24"/>
        </w:rPr>
      </w:pPr>
      <w:r w:rsidRPr="00E058E7">
        <w:rPr>
          <w:sz w:val="24"/>
          <w:szCs w:val="24"/>
        </w:rPr>
        <w:t>Lead annual reviews for pupils with EHCPs and contribute to multi-agency meetings.</w:t>
      </w:r>
    </w:p>
    <w:p w:rsidR="00E058E7" w:rsidP="00E058E7" w:rsidRDefault="00E058E7" w14:paraId="0F384FEE" w14:textId="77777777">
      <w:pPr>
        <w:rPr>
          <w:rFonts w:asciiTheme="minorHAnsi" w:hAnsiTheme="minorHAnsi" w:cstheme="minorHAnsi"/>
          <w:b/>
          <w:bCs/>
        </w:rPr>
      </w:pPr>
    </w:p>
    <w:p w:rsidR="00885698" w:rsidP="00885698" w:rsidRDefault="00885698" w14:paraId="1E4389D6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E058E7" w:rsidRDefault="00E058E7" w14:paraId="0FC0F774" w14:textId="4C8DACE2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D90F7D" w:rsidP="00E058E7" w:rsidRDefault="00D90F7D" w14:paraId="722E3596" w14:textId="77777777">
      <w:pPr>
        <w:rPr>
          <w:rFonts w:asciiTheme="minorHAnsi" w:hAnsiTheme="minorHAnsi" w:cstheme="minorHAnsi"/>
          <w:b/>
          <w:bCs/>
        </w:rPr>
      </w:pPr>
    </w:p>
    <w:p w:rsidRPr="00352697" w:rsidR="00885698" w:rsidP="00885698" w:rsidRDefault="0089778F" w14:paraId="61D2927B" w14:textId="58127D7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Person Specification – Inclusion Hub </w:t>
      </w:r>
      <w:r w:rsidRPr="00352697" w:rsidR="00885698">
        <w:rPr>
          <w:rFonts w:asciiTheme="minorHAnsi" w:hAnsiTheme="minorHAnsi" w:cstheme="minorHAnsi"/>
          <w:b/>
          <w:bCs/>
        </w:rPr>
        <w:t>Teacher</w:t>
      </w:r>
    </w:p>
    <w:tbl>
      <w:tblPr>
        <w:tblStyle w:val="TableGrid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835"/>
        <w:gridCol w:w="1366"/>
      </w:tblGrid>
      <w:tr w:rsidRPr="00352697" w:rsidR="00885698" w:rsidTr="7C69789E" w14:paraId="77E464FA" w14:textId="77777777">
        <w:tc>
          <w:tcPr>
            <w:tcW w:w="1696" w:type="dxa"/>
          </w:tcPr>
          <w:p w:rsidRPr="00352697" w:rsidR="00885698" w:rsidP="00763078" w:rsidRDefault="00885698" w14:paraId="664A733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Category</w:t>
            </w:r>
          </w:p>
        </w:tc>
        <w:tc>
          <w:tcPr>
            <w:tcW w:w="3119" w:type="dxa"/>
          </w:tcPr>
          <w:p w:rsidRPr="00352697" w:rsidR="00885698" w:rsidP="00763078" w:rsidRDefault="00885698" w14:paraId="5131F7F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2835" w:type="dxa"/>
          </w:tcPr>
          <w:p w:rsidRPr="00352697" w:rsidR="00885698" w:rsidP="00763078" w:rsidRDefault="00885698" w14:paraId="05029E6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366" w:type="dxa"/>
          </w:tcPr>
          <w:p w:rsidRPr="00352697" w:rsidR="00885698" w:rsidP="00763078" w:rsidRDefault="00885698" w14:paraId="5084209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How Identified</w:t>
            </w:r>
          </w:p>
        </w:tc>
      </w:tr>
      <w:tr w:rsidRPr="00352697" w:rsidR="00885698" w:rsidTr="7C69789E" w14:paraId="268456DD" w14:textId="77777777">
        <w:tc>
          <w:tcPr>
            <w:tcW w:w="1696" w:type="dxa"/>
          </w:tcPr>
          <w:p w:rsidRPr="00352697" w:rsidR="00885698" w:rsidP="00763078" w:rsidRDefault="00885698" w14:paraId="1002B64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3119" w:type="dxa"/>
          </w:tcPr>
          <w:p w:rsidRPr="00352697" w:rsidR="00885698" w:rsidP="00885698" w:rsidRDefault="00885698" w14:paraId="53173AD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Qualified Teacher</w:t>
            </w:r>
          </w:p>
          <w:p w:rsidR="00885698" w:rsidP="00885698" w:rsidRDefault="00885698" w14:paraId="3D388E9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Degree or good professional qualification</w:t>
            </w:r>
          </w:p>
          <w:p w:rsidRPr="00352697" w:rsidR="00017FFB" w:rsidP="00885698" w:rsidRDefault="00017FFB" w14:paraId="465633D9" w14:textId="714398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7FFB">
              <w:rPr>
                <w:rFonts w:cstheme="minorHAnsi"/>
                <w:sz w:val="24"/>
                <w:szCs w:val="24"/>
              </w:rPr>
              <w:t>National Award for SEND Coordination (or willingness to achieve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Pr="00193F39" w:rsidR="00A60335" w:rsidP="00193F39" w:rsidRDefault="00885698" w14:paraId="3DC3EE55" w14:textId="017CD1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Evidence of professional development</w:t>
            </w:r>
          </w:p>
        </w:tc>
        <w:tc>
          <w:tcPr>
            <w:tcW w:w="2835" w:type="dxa"/>
          </w:tcPr>
          <w:p w:rsidRPr="00A60335" w:rsidR="00885698" w:rsidP="00A60335" w:rsidRDefault="00A60335" w14:paraId="209B0FCB" w14:textId="3DBDF22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A60335">
              <w:rPr>
                <w:rFonts w:cstheme="minorHAnsi"/>
                <w:sz w:val="24"/>
                <w:szCs w:val="24"/>
              </w:rPr>
              <w:t>Additional qualifications in SEND or Inclusion Leadership</w:t>
            </w:r>
          </w:p>
        </w:tc>
        <w:tc>
          <w:tcPr>
            <w:tcW w:w="1366" w:type="dxa"/>
          </w:tcPr>
          <w:p w:rsidRPr="00352697" w:rsidR="00885698" w:rsidP="00763078" w:rsidRDefault="00885698" w14:paraId="77B99B3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</w:t>
            </w:r>
          </w:p>
        </w:tc>
      </w:tr>
      <w:tr w:rsidRPr="00352697" w:rsidR="00885698" w:rsidTr="7C69789E" w14:paraId="1982A160" w14:textId="77777777">
        <w:tc>
          <w:tcPr>
            <w:tcW w:w="1696" w:type="dxa"/>
          </w:tcPr>
          <w:p w:rsidRPr="00352697" w:rsidR="00885698" w:rsidP="00763078" w:rsidRDefault="00885698" w14:paraId="3E0513A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Knowledge</w:t>
            </w:r>
          </w:p>
        </w:tc>
        <w:tc>
          <w:tcPr>
            <w:tcW w:w="3119" w:type="dxa"/>
          </w:tcPr>
          <w:p w:rsidRPr="00352697" w:rsidR="00885698" w:rsidP="7C69789E" w:rsidRDefault="00885698" w14:paraId="3C3B664B" w14:textId="51D8FE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Sound understanding of the National Curriculum, and primary practice</w:t>
            </w:r>
          </w:p>
          <w:p w:rsidRPr="00352697" w:rsidR="00885698" w:rsidP="00763078" w:rsidRDefault="00885698" w14:paraId="4DD02CF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Knowledge and experience of KS1/KS2 statutory </w:t>
            </w:r>
          </w:p>
          <w:p w:rsidRPr="00352697" w:rsidR="00885698" w:rsidP="7C69789E" w:rsidRDefault="00885698" w14:paraId="46596116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assessments</w:t>
            </w:r>
          </w:p>
          <w:p w:rsidRPr="00352697" w:rsidR="00885698" w:rsidP="00763078" w:rsidRDefault="00885698" w14:paraId="6DEE57AA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Knowledge of current educational developments</w:t>
            </w:r>
          </w:p>
          <w:p w:rsidRPr="00D90F7D" w:rsidR="00885698" w:rsidP="00763078" w:rsidRDefault="00885698" w14:paraId="60BBE5F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Understanding of the nature of inclusive practice</w:t>
            </w:r>
          </w:p>
          <w:p w:rsidRPr="0023164D" w:rsidR="00D90F7D" w:rsidP="00763078" w:rsidRDefault="00D90F7D" w14:paraId="3B39E8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Safeguarding and expectations for teachers</w:t>
            </w:r>
          </w:p>
          <w:p w:rsidR="0023164D" w:rsidP="00763078" w:rsidRDefault="0023164D" w14:paraId="3DF17D2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164D">
              <w:rPr>
                <w:rFonts w:cstheme="minorHAnsi"/>
                <w:sz w:val="24"/>
                <w:szCs w:val="24"/>
              </w:rPr>
              <w:t>In-depth understanding of the SEND Code of Practice and statutory requirements</w:t>
            </w:r>
          </w:p>
          <w:p w:rsidRPr="00352697" w:rsidR="0023164D" w:rsidP="00763078" w:rsidRDefault="0023164D" w14:paraId="6BA60A51" w14:textId="514778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3164D">
              <w:rPr>
                <w:rFonts w:cstheme="minorHAnsi"/>
                <w:sz w:val="24"/>
                <w:szCs w:val="24"/>
              </w:rPr>
              <w:t>Knowledge of EHCP processes and inclusive practice</w:t>
            </w:r>
          </w:p>
        </w:tc>
        <w:tc>
          <w:tcPr>
            <w:tcW w:w="2835" w:type="dxa"/>
          </w:tcPr>
          <w:p w:rsidR="00885698" w:rsidP="00D90F7D" w:rsidRDefault="00D90F7D" w14:paraId="4E028832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Knowledge of trauma informed approached and principles of nurture</w:t>
            </w:r>
          </w:p>
          <w:p w:rsidRPr="00DE1583" w:rsidR="00DE1583" w:rsidP="00DE1583" w:rsidRDefault="00D90F7D" w14:paraId="5BE6C57A" w14:textId="2D3D6405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Expertise and experience working with pupils</w:t>
            </w:r>
            <w:r w:rsidR="00DE158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with SLCN needs, particularly those diagnosed with Autistic Spectrum Condition </w:t>
            </w:r>
            <w:r w:rsidR="00DE1583">
              <w:rPr>
                <w:rFonts w:cstheme="minorHAnsi"/>
              </w:rPr>
              <w:t>and those at the earliest stages of language development</w:t>
            </w:r>
          </w:p>
        </w:tc>
        <w:tc>
          <w:tcPr>
            <w:tcW w:w="1366" w:type="dxa"/>
          </w:tcPr>
          <w:p w:rsidRPr="00352697" w:rsidR="00885698" w:rsidP="00763078" w:rsidRDefault="00885698" w14:paraId="3F32C37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Pr="00352697" w:rsidR="00885698" w:rsidTr="7C69789E" w14:paraId="4E35B13A" w14:textId="77777777">
        <w:tc>
          <w:tcPr>
            <w:tcW w:w="1696" w:type="dxa"/>
          </w:tcPr>
          <w:p w:rsidRPr="00352697" w:rsidR="00885698" w:rsidP="00763078" w:rsidRDefault="00885698" w14:paraId="4375A93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119" w:type="dxa"/>
          </w:tcPr>
          <w:p w:rsidRPr="00352697" w:rsidR="00885698" w:rsidP="00763078" w:rsidRDefault="00885698" w14:paraId="13EA0F9B" w14:textId="0B0BA9A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 xml:space="preserve">Class teaching in </w:t>
            </w:r>
            <w:r w:rsidR="00E55B0C">
              <w:rPr>
                <w:rFonts w:cstheme="minorHAnsi"/>
                <w:sz w:val="24"/>
                <w:szCs w:val="24"/>
              </w:rPr>
              <w:t xml:space="preserve">EYFS, </w:t>
            </w:r>
            <w:r w:rsidRPr="00352697">
              <w:rPr>
                <w:rFonts w:cstheme="minorHAnsi"/>
                <w:sz w:val="24"/>
                <w:szCs w:val="24"/>
              </w:rPr>
              <w:t xml:space="preserve"> KS1 or KS2</w:t>
            </w:r>
            <w:r w:rsidR="00750EAA">
              <w:rPr>
                <w:rFonts w:cstheme="minorHAnsi"/>
                <w:sz w:val="24"/>
                <w:szCs w:val="24"/>
              </w:rPr>
              <w:t xml:space="preserve"> or in an Inclusion Hub within these Key stages</w:t>
            </w:r>
          </w:p>
          <w:p w:rsidRPr="00352697" w:rsidR="00885698" w:rsidP="7C69789E" w:rsidRDefault="00885698" w14:paraId="70D0E790" w14:textId="70D4E4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lastRenderedPageBreak/>
              <w:t>Working in a school with a high number of Pupil Premium children</w:t>
            </w:r>
          </w:p>
          <w:p w:rsidRPr="00E55B0C" w:rsidR="00885698" w:rsidP="00763078" w:rsidRDefault="00885698" w14:paraId="1C1A27BF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Experience of working with children with SEND</w:t>
            </w:r>
          </w:p>
          <w:p w:rsidR="00E55B0C" w:rsidP="00763078" w:rsidRDefault="00E55B0C" w14:paraId="76779A6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5B0C">
              <w:rPr>
                <w:rFonts w:cstheme="minorHAnsi"/>
                <w:sz w:val="24"/>
                <w:szCs w:val="24"/>
              </w:rPr>
              <w:t>Proven experience in coordinating SEND provision in a primary setting</w:t>
            </w:r>
          </w:p>
          <w:p w:rsidRPr="00352697" w:rsidR="00E55B0C" w:rsidP="00763078" w:rsidRDefault="00EE42D1" w14:paraId="195078EC" w14:textId="41EF247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42D1">
              <w:rPr>
                <w:rFonts w:cstheme="minorHAnsi"/>
                <w:sz w:val="24"/>
                <w:szCs w:val="24"/>
              </w:rPr>
              <w:t>Leading multi-agency meetings and annual review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:rsidRPr="00352697" w:rsidR="00885698" w:rsidP="00763078" w:rsidRDefault="00970AED" w14:paraId="3F3BC815" w14:textId="198D265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0AED">
              <w:rPr>
                <w:rFonts w:cstheme="minorHAnsi"/>
                <w:sz w:val="24"/>
                <w:szCs w:val="24"/>
              </w:rPr>
              <w:lastRenderedPageBreak/>
              <w:t>Previous experience as SENDCo or Inclusion Lead</w:t>
            </w:r>
            <w:r w:rsidRPr="00970AED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366" w:type="dxa"/>
          </w:tcPr>
          <w:p w:rsidRPr="00352697" w:rsidR="00885698" w:rsidP="00763078" w:rsidRDefault="00885698" w14:paraId="7377990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Pr="00352697" w:rsidR="00885698" w:rsidTr="7C69789E" w14:paraId="1509280D" w14:textId="77777777">
        <w:tc>
          <w:tcPr>
            <w:tcW w:w="1696" w:type="dxa"/>
          </w:tcPr>
          <w:p w:rsidRPr="00352697" w:rsidR="00885698" w:rsidP="00763078" w:rsidRDefault="00885698" w14:paraId="7CDCCD4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Skills</w:t>
            </w:r>
          </w:p>
        </w:tc>
        <w:tc>
          <w:tcPr>
            <w:tcW w:w="3119" w:type="dxa"/>
          </w:tcPr>
          <w:p w:rsidRPr="00352697" w:rsidR="00885698" w:rsidP="00763078" w:rsidRDefault="00885698" w14:paraId="3DBBA9A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52697">
              <w:rPr>
                <w:rFonts w:cstheme="minorHAnsi"/>
                <w:sz w:val="24"/>
                <w:szCs w:val="24"/>
              </w:rPr>
              <w:t>Good communication and interpersonal skills</w:t>
            </w:r>
          </w:p>
          <w:p w:rsidRPr="00352697" w:rsidR="00885698" w:rsidP="7C69789E" w:rsidRDefault="00885698" w14:paraId="5BE1FE5B" w14:textId="29CCB1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set, monitor and evaluate clear targets for pupils</w:t>
            </w:r>
          </w:p>
          <w:p w:rsidRPr="00352697" w:rsidR="00885698" w:rsidP="00763078" w:rsidRDefault="00885698" w14:paraId="07E7DC8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Ability to plan logically with clear objectives </w:t>
            </w:r>
          </w:p>
          <w:p w:rsidRPr="00352697" w:rsidR="00885698" w:rsidP="7C69789E" w:rsidRDefault="00885698" w14:paraId="6503D6FF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related to the National Curriculum </w:t>
            </w:r>
          </w:p>
          <w:p w:rsidRPr="00352697" w:rsidR="00885698" w:rsidP="00763078" w:rsidRDefault="00885698" w14:paraId="5F5BD81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Good classroom practitioner </w:t>
            </w:r>
          </w:p>
          <w:p w:rsidRPr="00352697" w:rsidR="00885698" w:rsidP="00885698" w:rsidRDefault="00885698" w14:paraId="617CDF70" w14:textId="3414F4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Skills in the use of ICT as a teaching tool</w:t>
            </w:r>
          </w:p>
          <w:p w:rsidRPr="00D30338" w:rsidR="00885698" w:rsidP="00763078" w:rsidRDefault="00885698" w14:paraId="5CF94C2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plan to meet the needs of pupils with special educational needs</w:t>
            </w:r>
          </w:p>
          <w:p w:rsidRPr="00352697" w:rsidR="00D30338" w:rsidP="00763078" w:rsidRDefault="00D30338" w14:paraId="0E94AEAC" w14:textId="4D2EA3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0338">
              <w:rPr>
                <w:rFonts w:cstheme="minorHAnsi"/>
                <w:sz w:val="24"/>
                <w:szCs w:val="24"/>
              </w:rPr>
              <w:t>Ability to train and support staff in inclusive practice</w:t>
            </w:r>
          </w:p>
        </w:tc>
        <w:tc>
          <w:tcPr>
            <w:tcW w:w="2835" w:type="dxa"/>
          </w:tcPr>
          <w:p w:rsidRPr="007A7169" w:rsidR="00885698" w:rsidP="007A7169" w:rsidRDefault="007A7169" w14:paraId="78FDADEF" w14:textId="55A2D6C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7A7169">
              <w:rPr>
                <w:rFonts w:cstheme="minorHAnsi"/>
                <w:sz w:val="24"/>
                <w:szCs w:val="24"/>
              </w:rPr>
              <w:t>Competence in using SEND-specific assessment tools and software</w:t>
            </w:r>
          </w:p>
        </w:tc>
        <w:tc>
          <w:tcPr>
            <w:tcW w:w="1366" w:type="dxa"/>
          </w:tcPr>
          <w:p w:rsidRPr="00352697" w:rsidR="00885698" w:rsidP="00763078" w:rsidRDefault="00885698" w14:paraId="3706A58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  <w:tr w:rsidRPr="00352697" w:rsidR="00885698" w:rsidTr="7C69789E" w14:paraId="6D92C554" w14:textId="77777777">
        <w:tc>
          <w:tcPr>
            <w:tcW w:w="1696" w:type="dxa"/>
          </w:tcPr>
          <w:p w:rsidRPr="00352697" w:rsidR="00885698" w:rsidP="00763078" w:rsidRDefault="00885698" w14:paraId="1B5245C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352697">
              <w:rPr>
                <w:rFonts w:asciiTheme="minorHAnsi" w:hAnsiTheme="minorHAnsi" w:cstheme="minorHAnsi"/>
                <w:b/>
                <w:bCs/>
              </w:rPr>
              <w:t>Qualities</w:t>
            </w:r>
          </w:p>
        </w:tc>
        <w:tc>
          <w:tcPr>
            <w:tcW w:w="3119" w:type="dxa"/>
          </w:tcPr>
          <w:p w:rsidR="00885698" w:rsidP="7C69789E" w:rsidRDefault="00885698" w14:paraId="1D27C57A" w14:textId="743D4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teach with enthusiasm and motivate pupils</w:t>
            </w:r>
          </w:p>
          <w:p w:rsidRPr="00352697" w:rsidR="00CF6189" w:rsidP="7C69789E" w:rsidRDefault="00CF6189" w14:paraId="40EDAE60" w14:textId="7DAB4EA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F6189">
              <w:rPr>
                <w:sz w:val="24"/>
                <w:szCs w:val="24"/>
              </w:rPr>
              <w:t>Commitment to inclusion and equality of opportunity</w:t>
            </w:r>
          </w:p>
          <w:p w:rsidRPr="00352697" w:rsidR="00885698" w:rsidP="7C69789E" w:rsidRDefault="00885698" w14:paraId="4ECB8C91" w14:textId="310230C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 xml:space="preserve">Communicate and disseminate information at a </w:t>
            </w:r>
            <w:r w:rsidRPr="7C69789E">
              <w:rPr>
                <w:sz w:val="24"/>
                <w:szCs w:val="24"/>
              </w:rPr>
              <w:lastRenderedPageBreak/>
              <w:t>child’s level of understanding</w:t>
            </w:r>
          </w:p>
          <w:p w:rsidRPr="00352697" w:rsidR="00885698" w:rsidP="00763078" w:rsidRDefault="00885698" w14:paraId="71DC81B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Ability to work collaboratively in teams</w:t>
            </w:r>
          </w:p>
          <w:p w:rsidRPr="003674E9" w:rsidR="00885698" w:rsidP="00763078" w:rsidRDefault="00885698" w14:paraId="2F834D6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7C69789E">
              <w:rPr>
                <w:sz w:val="24"/>
                <w:szCs w:val="24"/>
              </w:rPr>
              <w:t>To be diplomatic and professional at all times</w:t>
            </w:r>
          </w:p>
          <w:p w:rsidR="003674E9" w:rsidP="00763078" w:rsidRDefault="003674E9" w14:paraId="1C9D337E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4E9">
              <w:rPr>
                <w:rFonts w:cstheme="minorHAnsi"/>
                <w:sz w:val="24"/>
                <w:szCs w:val="24"/>
              </w:rPr>
              <w:t>Resilience and adaptability in challenging situation</w:t>
            </w:r>
          </w:p>
          <w:p w:rsidRPr="00352697" w:rsidR="003674E9" w:rsidP="00763078" w:rsidRDefault="003674E9" w14:paraId="336A6BE2" w14:textId="217B92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74E9">
              <w:rPr>
                <w:rFonts w:cstheme="minorHAnsi"/>
                <w:sz w:val="24"/>
                <w:szCs w:val="24"/>
              </w:rPr>
              <w:t>Enthusiasm for promoting positive outcomes for all pupils</w:t>
            </w:r>
          </w:p>
        </w:tc>
        <w:tc>
          <w:tcPr>
            <w:tcW w:w="2835" w:type="dxa"/>
          </w:tcPr>
          <w:p w:rsidRPr="00352697" w:rsidR="00885698" w:rsidP="00763078" w:rsidRDefault="00885698" w14:paraId="14B97B5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:rsidRPr="00352697" w:rsidR="00885698" w:rsidP="00763078" w:rsidRDefault="00885698" w14:paraId="2ABE9CD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2697">
              <w:rPr>
                <w:rFonts w:asciiTheme="minorHAnsi" w:hAnsiTheme="minorHAnsi" w:cstheme="minorHAnsi"/>
              </w:rPr>
              <w:t>A/I</w:t>
            </w:r>
          </w:p>
        </w:tc>
      </w:tr>
    </w:tbl>
    <w:p w:rsidRPr="00352697" w:rsidR="00885698" w:rsidP="00885698" w:rsidRDefault="00885698" w14:paraId="32A92BB1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1EFDE8AA" w14:textId="77777777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  <w:i/>
          <w:iCs/>
        </w:rPr>
        <w:t>Abbreviations:</w:t>
      </w:r>
      <w:r w:rsidRPr="00352697">
        <w:rPr>
          <w:rFonts w:asciiTheme="minorHAnsi" w:hAnsiTheme="minorHAnsi" w:cstheme="minorHAnsi"/>
        </w:rPr>
        <w:t xml:space="preserve"> AF = Application Form; I = Interview. </w:t>
      </w:r>
    </w:p>
    <w:p w:rsidRPr="00352697" w:rsidR="00885698" w:rsidP="00885698" w:rsidRDefault="00885698" w14:paraId="0DD3808D" w14:textId="77777777">
      <w:pPr>
        <w:jc w:val="both"/>
        <w:textAlignment w:val="baseline"/>
        <w:rPr>
          <w:rFonts w:asciiTheme="minorHAnsi" w:hAnsiTheme="minorHAnsi" w:cstheme="minorHAnsi"/>
        </w:rPr>
      </w:pPr>
      <w:r w:rsidRPr="00352697">
        <w:rPr>
          <w:rFonts w:asciiTheme="minorHAnsi" w:hAnsiTheme="minorHAnsi" w:cstheme="minorHAnsi"/>
        </w:rPr>
        <w:t> </w:t>
      </w:r>
    </w:p>
    <w:p w:rsidRPr="00352697" w:rsidR="00885698" w:rsidP="00885698" w:rsidRDefault="00885698" w14:paraId="05F75CF2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7DB55A78" w14:textId="77777777">
      <w:pPr>
        <w:rPr>
          <w:rFonts w:asciiTheme="minorHAnsi" w:hAnsiTheme="minorHAnsi" w:cstheme="minorHAnsi"/>
        </w:rPr>
      </w:pPr>
    </w:p>
    <w:p w:rsidRPr="00352697" w:rsidR="00885698" w:rsidP="00885698" w:rsidRDefault="00885698" w14:paraId="315CB464" w14:textId="77777777">
      <w:pPr>
        <w:rPr>
          <w:rFonts w:asciiTheme="minorHAnsi" w:hAnsiTheme="minorHAnsi" w:cstheme="minorHAnsi"/>
        </w:rPr>
      </w:pPr>
    </w:p>
    <w:p w:rsidRPr="00BC6433" w:rsidR="00254909" w:rsidP="00BC6433" w:rsidRDefault="00254909" w14:paraId="2B5D53A2" w14:textId="37F90601"/>
    <w:sectPr w:rsidRPr="00BC6433" w:rsidR="00254909" w:rsidSect="00461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/>
      <w:pgMar w:top="1440" w:right="1440" w:bottom="1440" w:left="1440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B47" w:rsidP="00934C79" w:rsidRDefault="007E1B47" w14:paraId="0F5D8B5F" w14:textId="77777777">
      <w:r>
        <w:separator/>
      </w:r>
    </w:p>
  </w:endnote>
  <w:endnote w:type="continuationSeparator" w:id="0">
    <w:p w:rsidR="007E1B47" w:rsidP="00934C79" w:rsidRDefault="007E1B47" w14:paraId="4713E244" w14:textId="77777777">
      <w:r>
        <w:continuationSeparator/>
      </w:r>
    </w:p>
  </w:endnote>
  <w:endnote w:type="continuationNotice" w:id="1">
    <w:p w:rsidR="007E1B47" w:rsidRDefault="007E1B47" w14:paraId="778FA46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7515" w:rsidR="008B7515" w:rsidP="008B7515" w:rsidRDefault="008B7515" w14:paraId="62793A7D" w14:textId="77777777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6C88" w:rsidR="0046104D" w:rsidP="0046104D" w:rsidRDefault="003674E9" w14:paraId="4D293B50" w14:textId="6DD05F1E">
    <w:pPr>
      <w:jc w:val="center"/>
      <w:rPr>
        <w:rFonts w:asciiTheme="majorHAnsi" w:hAnsiTheme="majorHAnsi"/>
        <w:sz w:val="18"/>
      </w:rPr>
    </w:pPr>
    <w:r>
      <w:rPr>
        <w:rFonts w:asciiTheme="minorHAnsi" w:hAnsiTheme="minorHAnsi"/>
        <w:noProof/>
        <w:sz w:val="22"/>
      </w:rPr>
      <w:pict w14:anchorId="62793A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7" style="position:absolute;left:0;text-align:left;margin-left:147.6pt;margin-top:322.3pt;width:524.95pt;height:528.9pt;z-index:-251658238;mso-position-horizontal-relative:margin;mso-position-vertical-relative:margin" o:spid="_x0000_s1027" o:allowincell="f" type="#_x0000_t75">
          <v:imagedata gain="19661f" blacklevel="22938f" o:title="Harmony Trust Logo_Links_FULL COLOUR_HIGH RES" r:id="rId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B47" w:rsidP="00934C79" w:rsidRDefault="007E1B47" w14:paraId="289D3B16" w14:textId="77777777">
      <w:r>
        <w:separator/>
      </w:r>
    </w:p>
  </w:footnote>
  <w:footnote w:type="continuationSeparator" w:id="0">
    <w:p w:rsidR="007E1B47" w:rsidP="00934C79" w:rsidRDefault="007E1B47" w14:paraId="4E37D2D7" w14:textId="77777777">
      <w:r>
        <w:continuationSeparator/>
      </w:r>
    </w:p>
  </w:footnote>
  <w:footnote w:type="continuationNotice" w:id="1">
    <w:p w:rsidR="007E1B47" w:rsidRDefault="007E1B47" w14:paraId="7AF0ED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C79" w:rsidRDefault="003674E9" w14:paraId="62793A7B" w14:textId="77777777">
    <w:pPr>
      <w:pStyle w:val="Header"/>
    </w:pPr>
    <w:r>
      <w:rPr>
        <w:noProof/>
        <w:lang w:eastAsia="en-GB"/>
      </w:rPr>
      <w:pict w14:anchorId="62793A8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6" style="position:absolute;margin-left:0;margin-top:0;width:450.8pt;height:454.2pt;z-index:-251658239;mso-position-horizontal:center;mso-position-horizontal-relative:margin;mso-position-vertical:center;mso-position-vertical-relative:margin" o:spid="_x0000_s1026" o:allowincell="f" type="#_x0000_t75">
          <v:imagedata gain="19661f" blacklevel="22938f" o:title="Harmony Trust Logo_Links_FULL COLOUR_HIGH RES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7515" w:rsidR="008B7515" w:rsidP="008B7515" w:rsidRDefault="008B7515" w14:paraId="62793A7C" w14:textId="6DDE05D8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C79" w:rsidRDefault="003674E9" w14:paraId="62793A83" w14:textId="77777777">
    <w:pPr>
      <w:pStyle w:val="Header"/>
    </w:pPr>
    <w:r>
      <w:rPr>
        <w:noProof/>
        <w:lang w:eastAsia="en-GB"/>
      </w:rPr>
      <w:pict w14:anchorId="62793A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903045" style="position:absolute;margin-left:0;margin-top:0;width:450.8pt;height:454.2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Harmony Trust Logo_Links_FULL COLOUR_HIGH R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4A6F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6D4382"/>
    <w:multiLevelType w:val="hybridMultilevel"/>
    <w:tmpl w:val="7ADEF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366649"/>
    <w:multiLevelType w:val="hybridMultilevel"/>
    <w:tmpl w:val="7E04CC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BB7BA3"/>
    <w:multiLevelType w:val="hybridMultilevel"/>
    <w:tmpl w:val="ED7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FA4209"/>
    <w:multiLevelType w:val="hybridMultilevel"/>
    <w:tmpl w:val="44FCCA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4B5A82"/>
    <w:multiLevelType w:val="hybridMultilevel"/>
    <w:tmpl w:val="44469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C94D60"/>
    <w:multiLevelType w:val="hybridMultilevel"/>
    <w:tmpl w:val="894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C33EEE"/>
    <w:multiLevelType w:val="hybridMultilevel"/>
    <w:tmpl w:val="D3EEFB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0051E"/>
    <w:multiLevelType w:val="hybridMultilevel"/>
    <w:tmpl w:val="F88811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54E5"/>
    <w:multiLevelType w:val="hybridMultilevel"/>
    <w:tmpl w:val="1700A7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780A78"/>
    <w:multiLevelType w:val="hybridMultilevel"/>
    <w:tmpl w:val="8BF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231865"/>
    <w:multiLevelType w:val="hybridMultilevel"/>
    <w:tmpl w:val="FB3828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7829115">
    <w:abstractNumId w:val="3"/>
  </w:num>
  <w:num w:numId="2" w16cid:durableId="1356493152">
    <w:abstractNumId w:val="5"/>
  </w:num>
  <w:num w:numId="3" w16cid:durableId="705446283">
    <w:abstractNumId w:val="10"/>
  </w:num>
  <w:num w:numId="4" w16cid:durableId="1401295866">
    <w:abstractNumId w:val="8"/>
  </w:num>
  <w:num w:numId="5" w16cid:durableId="1163546873">
    <w:abstractNumId w:val="7"/>
  </w:num>
  <w:num w:numId="6" w16cid:durableId="1832596902">
    <w:abstractNumId w:val="4"/>
  </w:num>
  <w:num w:numId="7" w16cid:durableId="350180291">
    <w:abstractNumId w:val="1"/>
  </w:num>
  <w:num w:numId="8" w16cid:durableId="174804188">
    <w:abstractNumId w:val="9"/>
  </w:num>
  <w:num w:numId="9" w16cid:durableId="603267284">
    <w:abstractNumId w:val="6"/>
  </w:num>
  <w:num w:numId="10" w16cid:durableId="1803385285">
    <w:abstractNumId w:val="12"/>
  </w:num>
  <w:num w:numId="11" w16cid:durableId="1030453373">
    <w:abstractNumId w:val="11"/>
  </w:num>
  <w:num w:numId="12" w16cid:durableId="721558819">
    <w:abstractNumId w:val="0"/>
  </w:num>
  <w:num w:numId="13" w16cid:durableId="29309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79"/>
    <w:rsid w:val="00017FFB"/>
    <w:rsid w:val="000203FD"/>
    <w:rsid w:val="0003329E"/>
    <w:rsid w:val="0008412C"/>
    <w:rsid w:val="0009254B"/>
    <w:rsid w:val="000F23AD"/>
    <w:rsid w:val="00154270"/>
    <w:rsid w:val="00174D1A"/>
    <w:rsid w:val="00193F39"/>
    <w:rsid w:val="001C1B8C"/>
    <w:rsid w:val="0023164D"/>
    <w:rsid w:val="00253D07"/>
    <w:rsid w:val="00254909"/>
    <w:rsid w:val="0027088A"/>
    <w:rsid w:val="0029512F"/>
    <w:rsid w:val="002A2010"/>
    <w:rsid w:val="002A523A"/>
    <w:rsid w:val="002F4501"/>
    <w:rsid w:val="00301B5E"/>
    <w:rsid w:val="003674E9"/>
    <w:rsid w:val="003B4398"/>
    <w:rsid w:val="00400E99"/>
    <w:rsid w:val="00420597"/>
    <w:rsid w:val="00441173"/>
    <w:rsid w:val="0046104D"/>
    <w:rsid w:val="004A4EA0"/>
    <w:rsid w:val="004C5BF2"/>
    <w:rsid w:val="004E438A"/>
    <w:rsid w:val="004F2F99"/>
    <w:rsid w:val="00507C7B"/>
    <w:rsid w:val="005A0ABA"/>
    <w:rsid w:val="005A71C8"/>
    <w:rsid w:val="00604733"/>
    <w:rsid w:val="00657163"/>
    <w:rsid w:val="00665BDA"/>
    <w:rsid w:val="006767C6"/>
    <w:rsid w:val="007017C2"/>
    <w:rsid w:val="00750EAA"/>
    <w:rsid w:val="007801D8"/>
    <w:rsid w:val="00782C84"/>
    <w:rsid w:val="007A7169"/>
    <w:rsid w:val="007E1B47"/>
    <w:rsid w:val="007F0299"/>
    <w:rsid w:val="007F2657"/>
    <w:rsid w:val="00816A77"/>
    <w:rsid w:val="00816B4E"/>
    <w:rsid w:val="00826433"/>
    <w:rsid w:val="008404CB"/>
    <w:rsid w:val="0087469D"/>
    <w:rsid w:val="00885698"/>
    <w:rsid w:val="0089778F"/>
    <w:rsid w:val="008B7515"/>
    <w:rsid w:val="008C7F11"/>
    <w:rsid w:val="008D1288"/>
    <w:rsid w:val="00934C79"/>
    <w:rsid w:val="00937019"/>
    <w:rsid w:val="00970AED"/>
    <w:rsid w:val="009776E5"/>
    <w:rsid w:val="009A08D0"/>
    <w:rsid w:val="009C4E6E"/>
    <w:rsid w:val="00A12EEA"/>
    <w:rsid w:val="00A60335"/>
    <w:rsid w:val="00AA2FF9"/>
    <w:rsid w:val="00B15C9C"/>
    <w:rsid w:val="00B35D44"/>
    <w:rsid w:val="00BC6433"/>
    <w:rsid w:val="00C77346"/>
    <w:rsid w:val="00CE17C6"/>
    <w:rsid w:val="00CF6189"/>
    <w:rsid w:val="00D10716"/>
    <w:rsid w:val="00D30338"/>
    <w:rsid w:val="00D35D76"/>
    <w:rsid w:val="00D45F81"/>
    <w:rsid w:val="00D60B54"/>
    <w:rsid w:val="00D66C88"/>
    <w:rsid w:val="00D90F7D"/>
    <w:rsid w:val="00DA5A4C"/>
    <w:rsid w:val="00DE1583"/>
    <w:rsid w:val="00E045A2"/>
    <w:rsid w:val="00E05027"/>
    <w:rsid w:val="00E058E7"/>
    <w:rsid w:val="00E2360D"/>
    <w:rsid w:val="00E47D56"/>
    <w:rsid w:val="00E55B0C"/>
    <w:rsid w:val="00E85D80"/>
    <w:rsid w:val="00E96AF7"/>
    <w:rsid w:val="00ED720D"/>
    <w:rsid w:val="00EE42D1"/>
    <w:rsid w:val="00FA176D"/>
    <w:rsid w:val="00FD5361"/>
    <w:rsid w:val="0124948D"/>
    <w:rsid w:val="13CBDB67"/>
    <w:rsid w:val="17F7BE6D"/>
    <w:rsid w:val="2562FBF7"/>
    <w:rsid w:val="2BD05840"/>
    <w:rsid w:val="35168590"/>
    <w:rsid w:val="3CCABCBA"/>
    <w:rsid w:val="3DD19269"/>
    <w:rsid w:val="47140B91"/>
    <w:rsid w:val="52224A47"/>
    <w:rsid w:val="6D4A43F9"/>
    <w:rsid w:val="71E0EFBD"/>
    <w:rsid w:val="72BF90E7"/>
    <w:rsid w:val="7B6884CF"/>
    <w:rsid w:val="7C6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3A76"/>
  <w15:chartTrackingRefBased/>
  <w15:docId w15:val="{96FDF719-DB90-4027-8E94-56B1F5E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A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uiPriority w:val="34"/>
    <w:qFormat/>
    <w:rsid w:val="00934C7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782C8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5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A2FF9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B15C9C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B15C9C"/>
  </w:style>
  <w:style w:type="character" w:styleId="normaltextrun" w:customStyle="1">
    <w:name w:val="normaltextrun"/>
    <w:basedOn w:val="DefaultParagraphFont"/>
    <w:rsid w:val="00B15C9C"/>
  </w:style>
  <w:style w:type="paragraph" w:styleId="ListBullet">
    <w:name w:val="List Bullet"/>
    <w:basedOn w:val="Normal"/>
    <w:uiPriority w:val="99"/>
    <w:unhideWhenUsed/>
    <w:rsid w:val="002A523A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e06c76373ab9d6f2da27fbc5f2c582e1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43d1288b07414b297595b4e24f4a5e97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a38d0-5579-447d-80d8-04d3c8c17150">
      <Terms xmlns="http://schemas.microsoft.com/office/infopath/2007/PartnerControls"/>
    </lcf76f155ced4ddcb4097134ff3c332f>
    <TaxCatchAll xmlns="aff6571d-4a26-444a-b5d8-7df0c1e9b986" xsi:nil="true"/>
    <SharedWithUsers xmlns="aff6571d-4a26-444a-b5d8-7df0c1e9b98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985985-B05A-4D16-80E8-495451BED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959FF-E6C9-4329-8F28-9DB131C6B24A}"/>
</file>

<file path=customXml/itemProps3.xml><?xml version="1.0" encoding="utf-8"?>
<ds:datastoreItem xmlns:ds="http://schemas.openxmlformats.org/officeDocument/2006/customXml" ds:itemID="{C13DED99-CAF1-4D8D-B9EF-79970DCA2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A8347-9446-4F3D-A378-F5719F03BF29}">
  <ds:schemaRefs>
    <ds:schemaRef ds:uri="http://schemas.microsoft.com/office/2006/metadata/properties"/>
    <ds:schemaRef ds:uri="http://schemas.microsoft.com/office/infopath/2007/PartnerControls"/>
    <ds:schemaRef ds:uri="5b8a38d0-5579-447d-80d8-04d3c8c17150"/>
    <ds:schemaRef ds:uri="aff6571d-4a26-444a-b5d8-7df0c1e9b986"/>
    <ds:schemaRef ds:uri="15c21845-70e1-49f6-a97f-c9e6139c65ce"/>
    <ds:schemaRef ds:uri="39ded545-3077-4f92-af44-29be29b9d1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Fajkis</dc:creator>
  <keywords/>
  <dc:description/>
  <lastModifiedBy>Ellie Partington</lastModifiedBy>
  <revision>20</revision>
  <lastPrinted>2017-11-29T12:38:00.0000000Z</lastPrinted>
  <dcterms:created xsi:type="dcterms:W3CDTF">2025-11-07T11:24:00.0000000Z</dcterms:created>
  <dcterms:modified xsi:type="dcterms:W3CDTF">2025-11-19T10:22:57.7980253Z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MediaServiceImageTags">
    <vt:lpwstr/>
  </property>
  <property fmtid="{D5CDD505-2E9C-101B-9397-08002B2CF9AE}" pid="4" name="Order">
    <vt:r8>28377200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