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4"/>
      </w:tblGrid>
      <w:tr w:rsidR="00793962" w:rsidRPr="006A5C9D" w14:paraId="40BA3711" w14:textId="77777777" w:rsidTr="00793962">
        <w:trPr>
          <w:trHeight w:val="325"/>
        </w:trPr>
        <w:tc>
          <w:tcPr>
            <w:tcW w:w="9834" w:type="dxa"/>
            <w:hideMark/>
          </w:tcPr>
          <w:tbl>
            <w:tblPr>
              <w:tblStyle w:val="TableGrid"/>
              <w:tblW w:w="0" w:type="auto"/>
              <w:tblInd w:w="0" w:type="dxa"/>
              <w:tblLook w:val="04A0" w:firstRow="1" w:lastRow="0" w:firstColumn="1" w:lastColumn="0" w:noHBand="0" w:noVBand="1"/>
            </w:tblPr>
            <w:tblGrid>
              <w:gridCol w:w="2442"/>
              <w:gridCol w:w="6095"/>
            </w:tblGrid>
            <w:tr w:rsidR="007A6342" w:rsidRPr="006A5C9D" w14:paraId="4E6E590D" w14:textId="77777777" w:rsidTr="00BC116B">
              <w:tc>
                <w:tcPr>
                  <w:tcW w:w="2442" w:type="dxa"/>
                </w:tcPr>
                <w:p w14:paraId="3BD2CCA3" w14:textId="3C6EF0A8" w:rsidR="007A6342" w:rsidRPr="006A5C9D" w:rsidRDefault="007A6342" w:rsidP="007A6342">
                  <w:pPr>
                    <w:rPr>
                      <w:rFonts w:ascii="Century Gothic" w:hAnsi="Century Gothic" w:cs="Arial"/>
                      <w:b/>
                    </w:rPr>
                  </w:pPr>
                  <w:r w:rsidRPr="006A5C9D">
                    <w:rPr>
                      <w:rFonts w:ascii="Century Gothic" w:hAnsi="Century Gothic" w:cs="Arial"/>
                      <w:b/>
                    </w:rPr>
                    <w:t>Post Reference:</w:t>
                  </w:r>
                  <w:r w:rsidR="00BC116B" w:rsidRPr="006A5C9D">
                    <w:rPr>
                      <w:rFonts w:ascii="Century Gothic" w:hAnsi="Century Gothic" w:cs="Arial"/>
                      <w:b/>
                    </w:rPr>
                    <w:t xml:space="preserve"> </w:t>
                  </w:r>
                </w:p>
              </w:tc>
              <w:tc>
                <w:tcPr>
                  <w:tcW w:w="6095" w:type="dxa"/>
                </w:tcPr>
                <w:p w14:paraId="21015D23" w14:textId="72CC36CC" w:rsidR="007A6342" w:rsidRPr="006A5C9D" w:rsidRDefault="005E4AAA" w:rsidP="007A6342">
                  <w:pPr>
                    <w:rPr>
                      <w:rFonts w:ascii="Century Gothic" w:hAnsi="Century Gothic" w:cs="Arial"/>
                      <w:bCs/>
                    </w:rPr>
                  </w:pPr>
                  <w:r w:rsidRPr="006A5C9D">
                    <w:rPr>
                      <w:rFonts w:ascii="Century Gothic" w:hAnsi="Century Gothic" w:cs="Arial"/>
                      <w:bCs/>
                    </w:rPr>
                    <w:t>2046</w:t>
                  </w:r>
                </w:p>
              </w:tc>
            </w:tr>
            <w:tr w:rsidR="007A6342" w:rsidRPr="006A5C9D" w14:paraId="0A4631AC" w14:textId="77777777" w:rsidTr="00BC116B">
              <w:tc>
                <w:tcPr>
                  <w:tcW w:w="2442" w:type="dxa"/>
                </w:tcPr>
                <w:p w14:paraId="388617FC" w14:textId="19820E3A" w:rsidR="007A6342" w:rsidRPr="006A5C9D" w:rsidRDefault="007A6342" w:rsidP="007A6342">
                  <w:pPr>
                    <w:rPr>
                      <w:rFonts w:ascii="Century Gothic" w:hAnsi="Century Gothic" w:cs="Arial"/>
                      <w:b/>
                    </w:rPr>
                  </w:pPr>
                  <w:r w:rsidRPr="006A5C9D">
                    <w:rPr>
                      <w:rFonts w:ascii="Century Gothic" w:hAnsi="Century Gothic" w:cs="Arial"/>
                      <w:b/>
                    </w:rPr>
                    <w:t>Academy:</w:t>
                  </w:r>
                </w:p>
              </w:tc>
              <w:tc>
                <w:tcPr>
                  <w:tcW w:w="6095" w:type="dxa"/>
                </w:tcPr>
                <w:p w14:paraId="0B53007B" w14:textId="1E6F8CBB" w:rsidR="007A6342" w:rsidRPr="006A5C9D" w:rsidRDefault="00BC116B" w:rsidP="007A6342">
                  <w:pPr>
                    <w:rPr>
                      <w:rFonts w:ascii="Century Gothic" w:hAnsi="Century Gothic" w:cs="Arial"/>
                      <w:bCs/>
                    </w:rPr>
                  </w:pPr>
                  <w:r w:rsidRPr="006A5C9D">
                    <w:rPr>
                      <w:rFonts w:ascii="Century Gothic" w:hAnsi="Century Gothic" w:cs="Arial"/>
                      <w:bCs/>
                    </w:rPr>
                    <w:t>White Rose Academies Trust</w:t>
                  </w:r>
                </w:p>
              </w:tc>
            </w:tr>
            <w:tr w:rsidR="007A6342" w:rsidRPr="006A5C9D" w14:paraId="6EF19751" w14:textId="77777777" w:rsidTr="00BC116B">
              <w:tc>
                <w:tcPr>
                  <w:tcW w:w="2442" w:type="dxa"/>
                </w:tcPr>
                <w:p w14:paraId="0744EF35" w14:textId="0CE2B11C" w:rsidR="007A6342" w:rsidRPr="006A5C9D" w:rsidRDefault="007A6342" w:rsidP="007A6342">
                  <w:pPr>
                    <w:rPr>
                      <w:rFonts w:ascii="Century Gothic" w:hAnsi="Century Gothic" w:cs="Arial"/>
                      <w:b/>
                    </w:rPr>
                  </w:pPr>
                  <w:r w:rsidRPr="006A5C9D">
                    <w:rPr>
                      <w:rFonts w:ascii="Century Gothic" w:hAnsi="Century Gothic" w:cs="Arial"/>
                      <w:b/>
                    </w:rPr>
                    <w:t>Job Title:</w:t>
                  </w:r>
                </w:p>
              </w:tc>
              <w:tc>
                <w:tcPr>
                  <w:tcW w:w="6095" w:type="dxa"/>
                </w:tcPr>
                <w:p w14:paraId="7A998789" w14:textId="11463AF3" w:rsidR="007A6342" w:rsidRPr="006A5C9D" w:rsidRDefault="00BC116B" w:rsidP="007A6342">
                  <w:pPr>
                    <w:rPr>
                      <w:rFonts w:ascii="Century Gothic" w:hAnsi="Century Gothic" w:cs="Arial"/>
                      <w:b/>
                    </w:rPr>
                  </w:pPr>
                  <w:r w:rsidRPr="006A5C9D">
                    <w:rPr>
                      <w:rFonts w:ascii="Century Gothic" w:hAnsi="Century Gothic" w:cs="Arial"/>
                      <w:b/>
                    </w:rPr>
                    <w:t>Head of Governance</w:t>
                  </w:r>
                </w:p>
              </w:tc>
            </w:tr>
            <w:tr w:rsidR="007A6342" w:rsidRPr="006A5C9D" w14:paraId="15EFE8F8" w14:textId="77777777" w:rsidTr="00BC116B">
              <w:tc>
                <w:tcPr>
                  <w:tcW w:w="2442" w:type="dxa"/>
                </w:tcPr>
                <w:p w14:paraId="14368607" w14:textId="3F93DF8A" w:rsidR="007A6342" w:rsidRPr="006A5C9D" w:rsidRDefault="007A6342" w:rsidP="007A6342">
                  <w:pPr>
                    <w:rPr>
                      <w:rFonts w:ascii="Century Gothic" w:hAnsi="Century Gothic" w:cs="Arial"/>
                      <w:b/>
                    </w:rPr>
                  </w:pPr>
                  <w:r w:rsidRPr="006A5C9D">
                    <w:rPr>
                      <w:rFonts w:ascii="Century Gothic" w:hAnsi="Century Gothic" w:cs="Arial"/>
                      <w:b/>
                    </w:rPr>
                    <w:t>Grade:</w:t>
                  </w:r>
                </w:p>
              </w:tc>
              <w:tc>
                <w:tcPr>
                  <w:tcW w:w="6095" w:type="dxa"/>
                </w:tcPr>
                <w:p w14:paraId="0AC07FB5" w14:textId="063547A1" w:rsidR="007A6342" w:rsidRPr="006A5C9D" w:rsidRDefault="00BC116B" w:rsidP="007A6342">
                  <w:pPr>
                    <w:rPr>
                      <w:rFonts w:ascii="Century Gothic" w:hAnsi="Century Gothic" w:cs="Arial"/>
                      <w:bCs/>
                    </w:rPr>
                  </w:pPr>
                  <w:r w:rsidRPr="006A5C9D">
                    <w:rPr>
                      <w:rFonts w:ascii="Century Gothic" w:hAnsi="Century Gothic" w:cs="Arial"/>
                      <w:bCs/>
                    </w:rPr>
                    <w:t xml:space="preserve">PO6 </w:t>
                  </w:r>
                  <w:r w:rsidR="005E4AAA" w:rsidRPr="006A5C9D">
                    <w:rPr>
                      <w:rFonts w:ascii="Century Gothic" w:hAnsi="Century Gothic" w:cs="Arial"/>
                      <w:bCs/>
                    </w:rPr>
                    <w:t>(£44,624 to £47,665)</w:t>
                  </w:r>
                </w:p>
              </w:tc>
            </w:tr>
            <w:tr w:rsidR="007A6342" w:rsidRPr="006A5C9D" w14:paraId="2DBBFB30" w14:textId="77777777" w:rsidTr="00BC116B">
              <w:trPr>
                <w:trHeight w:val="91"/>
              </w:trPr>
              <w:tc>
                <w:tcPr>
                  <w:tcW w:w="2442" w:type="dxa"/>
                </w:tcPr>
                <w:p w14:paraId="2B18AEDD" w14:textId="28F56293" w:rsidR="007A6342" w:rsidRPr="006A5C9D" w:rsidRDefault="007A6342" w:rsidP="007A6342">
                  <w:pPr>
                    <w:rPr>
                      <w:rFonts w:ascii="Century Gothic" w:hAnsi="Century Gothic" w:cs="Arial"/>
                      <w:b/>
                    </w:rPr>
                  </w:pPr>
                  <w:r w:rsidRPr="006A5C9D">
                    <w:rPr>
                      <w:rFonts w:ascii="Century Gothic" w:hAnsi="Century Gothic" w:cs="Arial"/>
                      <w:b/>
                    </w:rPr>
                    <w:t>Hours:</w:t>
                  </w:r>
                </w:p>
              </w:tc>
              <w:tc>
                <w:tcPr>
                  <w:tcW w:w="6095" w:type="dxa"/>
                </w:tcPr>
                <w:p w14:paraId="6CF9298D" w14:textId="7DAE4AB8" w:rsidR="007A6342" w:rsidRPr="006A5C9D" w:rsidRDefault="005E4AAA" w:rsidP="007A6342">
                  <w:pPr>
                    <w:rPr>
                      <w:rFonts w:ascii="Century Gothic" w:hAnsi="Century Gothic" w:cs="Arial"/>
                    </w:rPr>
                  </w:pPr>
                  <w:r w:rsidRPr="006A5C9D">
                    <w:rPr>
                      <w:rFonts w:ascii="Century Gothic" w:eastAsiaTheme="minorHAnsi" w:hAnsi="Century Gothic" w:cs="CenturyGothic-Bold"/>
                      <w:lang w:val="en-GB"/>
                    </w:rPr>
                    <w:t>Full time, all year round</w:t>
                  </w:r>
                </w:p>
              </w:tc>
            </w:tr>
            <w:tr w:rsidR="007A6342" w:rsidRPr="006A5C9D" w14:paraId="6323F0C7" w14:textId="77777777" w:rsidTr="00BC116B">
              <w:tc>
                <w:tcPr>
                  <w:tcW w:w="2442" w:type="dxa"/>
                </w:tcPr>
                <w:p w14:paraId="2F057045" w14:textId="6FE7BECB" w:rsidR="007A6342" w:rsidRPr="006A5C9D" w:rsidRDefault="007A6342" w:rsidP="007A6342">
                  <w:pPr>
                    <w:rPr>
                      <w:rFonts w:ascii="Century Gothic" w:hAnsi="Century Gothic" w:cs="Arial"/>
                      <w:b/>
                    </w:rPr>
                  </w:pPr>
                  <w:r w:rsidRPr="006A5C9D">
                    <w:rPr>
                      <w:rFonts w:ascii="Century Gothic" w:hAnsi="Century Gothic" w:cs="Arial"/>
                      <w:b/>
                    </w:rPr>
                    <w:t>Accountable to:</w:t>
                  </w:r>
                </w:p>
              </w:tc>
              <w:tc>
                <w:tcPr>
                  <w:tcW w:w="6095" w:type="dxa"/>
                </w:tcPr>
                <w:p w14:paraId="7EB0E3E6" w14:textId="37AB0F47" w:rsidR="007A6342" w:rsidRPr="006A5C9D" w:rsidRDefault="005E4AAA" w:rsidP="007A6342">
                  <w:pPr>
                    <w:rPr>
                      <w:rFonts w:ascii="Century Gothic" w:hAnsi="Century Gothic" w:cs="Arial"/>
                    </w:rPr>
                  </w:pPr>
                  <w:r w:rsidRPr="006A5C9D">
                    <w:rPr>
                      <w:rFonts w:ascii="Century Gothic" w:eastAsiaTheme="minorHAnsi" w:hAnsi="Century Gothic" w:cs="CenturyGothic-Bold"/>
                      <w:lang w:val="en-GB"/>
                    </w:rPr>
                    <w:t>Trust Board</w:t>
                  </w:r>
                  <w:r w:rsidR="00BC116B" w:rsidRPr="006A5C9D">
                    <w:rPr>
                      <w:rFonts w:ascii="Century Gothic" w:eastAsiaTheme="minorHAnsi" w:hAnsi="Century Gothic" w:cs="CenturyGothic-Bold"/>
                      <w:lang w:val="en-GB"/>
                    </w:rPr>
                    <w:t xml:space="preserve"> (through the </w:t>
                  </w:r>
                  <w:r w:rsidR="00675C23" w:rsidRPr="006A5C9D">
                    <w:rPr>
                      <w:rFonts w:ascii="Century Gothic" w:eastAsiaTheme="minorHAnsi" w:hAnsi="Century Gothic" w:cs="CenturyGothic-Bold"/>
                      <w:lang w:val="en-GB"/>
                    </w:rPr>
                    <w:t>Ch</w:t>
                  </w:r>
                  <w:r w:rsidR="00BC116B" w:rsidRPr="006A5C9D">
                    <w:rPr>
                      <w:rFonts w:ascii="Century Gothic" w:eastAsiaTheme="minorHAnsi" w:hAnsi="Century Gothic" w:cs="CenturyGothic-Bold"/>
                      <w:lang w:val="en-GB"/>
                    </w:rPr>
                    <w:t>air</w:t>
                  </w:r>
                  <w:r w:rsidR="00675C23" w:rsidRPr="006A5C9D">
                    <w:rPr>
                      <w:rFonts w:ascii="Century Gothic" w:eastAsiaTheme="minorHAnsi" w:hAnsi="Century Gothic" w:cs="CenturyGothic-Bold"/>
                      <w:lang w:val="en-GB"/>
                    </w:rPr>
                    <w:t xml:space="preserve"> of Board of Directors)</w:t>
                  </w:r>
                </w:p>
              </w:tc>
            </w:tr>
          </w:tbl>
          <w:p w14:paraId="47D13A66" w14:textId="369A24B1" w:rsidR="00793962" w:rsidRPr="006A5C9D" w:rsidRDefault="00793962" w:rsidP="006D51DF">
            <w:pPr>
              <w:rPr>
                <w:rFonts w:ascii="Century Gothic" w:hAnsi="Century Gothic" w:cs="Arial"/>
                <w:b/>
              </w:rPr>
            </w:pPr>
          </w:p>
        </w:tc>
      </w:tr>
    </w:tbl>
    <w:p w14:paraId="1EABF524" w14:textId="77777777" w:rsidR="00AA197D" w:rsidRPr="006A5C9D" w:rsidRDefault="00AA197D" w:rsidP="00AA197D">
      <w:pPr>
        <w:jc w:val="both"/>
        <w:rPr>
          <w:rFonts w:ascii="Century Gothic" w:hAnsi="Century Gothic"/>
          <w:b/>
          <w:bCs/>
        </w:rPr>
      </w:pPr>
    </w:p>
    <w:p w14:paraId="5F7637EA" w14:textId="554C03D1" w:rsidR="00D57379" w:rsidRPr="006A5C9D" w:rsidRDefault="00D57379" w:rsidP="00D57379">
      <w:pPr>
        <w:pStyle w:val="xzvds"/>
        <w:shd w:val="clear" w:color="auto" w:fill="FFFFFF"/>
        <w:spacing w:before="0" w:beforeAutospacing="0" w:after="0" w:afterAutospacing="0"/>
        <w:textAlignment w:val="baseline"/>
        <w:rPr>
          <w:rStyle w:val="vkif2"/>
          <w:rFonts w:ascii="Century Gothic" w:hAnsi="Century Gothic"/>
          <w:color w:val="000000"/>
          <w:sz w:val="22"/>
          <w:szCs w:val="22"/>
          <w:bdr w:val="none" w:sz="0" w:space="0" w:color="auto" w:frame="1"/>
        </w:rPr>
      </w:pPr>
    </w:p>
    <w:p w14:paraId="073CC5E3" w14:textId="77777777" w:rsidR="00D57379" w:rsidRPr="006A5C9D" w:rsidRDefault="00D57379" w:rsidP="00D57379">
      <w:pPr>
        <w:pStyle w:val="xzvds"/>
        <w:shd w:val="clear" w:color="auto" w:fill="FFFFFF"/>
        <w:spacing w:before="0" w:beforeAutospacing="0" w:after="0" w:afterAutospacing="0"/>
        <w:textAlignment w:val="baseline"/>
        <w:rPr>
          <w:rFonts w:ascii="Century Gothic" w:hAnsi="Century Gothic"/>
          <w:color w:val="000000"/>
          <w:sz w:val="22"/>
          <w:szCs w:val="22"/>
        </w:rPr>
      </w:pPr>
      <w:r w:rsidRPr="006A5C9D">
        <w:rPr>
          <w:rStyle w:val="vkif2"/>
          <w:rFonts w:ascii="Century Gothic" w:hAnsi="Century Gothic"/>
          <w:color w:val="000000"/>
          <w:sz w:val="22"/>
          <w:szCs w:val="22"/>
          <w:bdr w:val="none" w:sz="0" w:space="0" w:color="auto" w:frame="1"/>
        </w:rPr>
        <w:t>The White Rose Academies Trust is a Leeds-based multi-academy Trust with a reputation for raising ambitions, engaging local communities and rapid school improvement.</w:t>
      </w:r>
    </w:p>
    <w:p w14:paraId="22337601" w14:textId="510CD6DF" w:rsidR="00D57379" w:rsidRPr="006A5C9D" w:rsidRDefault="00D57379" w:rsidP="00D57379">
      <w:pPr>
        <w:shd w:val="clear" w:color="auto" w:fill="FFFFFF"/>
        <w:textAlignment w:val="baseline"/>
        <w:rPr>
          <w:rFonts w:ascii="Century Gothic" w:hAnsi="Century Gothic"/>
          <w:color w:val="000000"/>
        </w:rPr>
      </w:pPr>
      <w:r w:rsidRPr="006A5C9D">
        <w:rPr>
          <w:rFonts w:ascii="Century Gothic" w:hAnsi="Century Gothic"/>
          <w:color w:val="000000"/>
          <w:bdr w:val="none" w:sz="0" w:space="0" w:color="auto" w:frame="1"/>
        </w:rPr>
        <w:br/>
      </w:r>
      <w:r w:rsidRPr="006A5C9D">
        <w:rPr>
          <w:rStyle w:val="vkif2"/>
          <w:rFonts w:ascii="Century Gothic" w:hAnsi="Century Gothic"/>
          <w:color w:val="000000"/>
          <w:bdr w:val="none" w:sz="0" w:space="0" w:color="auto" w:frame="1"/>
        </w:rPr>
        <w:t xml:space="preserve">The Trust consists of three secondary schools - Leeds City Academy, Leeds East Academy and Leeds West Academy, </w:t>
      </w:r>
      <w:proofErr w:type="gramStart"/>
      <w:r w:rsidRPr="006A5C9D">
        <w:rPr>
          <w:rStyle w:val="vkif2"/>
          <w:rFonts w:ascii="Century Gothic" w:hAnsi="Century Gothic"/>
          <w:color w:val="000000"/>
          <w:bdr w:val="none" w:sz="0" w:space="0" w:color="auto" w:frame="1"/>
        </w:rPr>
        <w:t>and also</w:t>
      </w:r>
      <w:proofErr w:type="gramEnd"/>
      <w:r w:rsidRPr="006A5C9D">
        <w:rPr>
          <w:rStyle w:val="vkif2"/>
          <w:rFonts w:ascii="Century Gothic" w:hAnsi="Century Gothic"/>
          <w:color w:val="000000"/>
          <w:bdr w:val="none" w:sz="0" w:space="0" w:color="auto" w:frame="1"/>
        </w:rPr>
        <w:t xml:space="preserve"> welcomed its first primary school (Alder Tree Primary Academy) on 1st December 2020.</w:t>
      </w:r>
    </w:p>
    <w:p w14:paraId="3E3C6F1C" w14:textId="59B6B364" w:rsidR="00D57379" w:rsidRPr="006A5C9D" w:rsidRDefault="00D57379" w:rsidP="00D57379">
      <w:pPr>
        <w:shd w:val="clear" w:color="auto" w:fill="FFFFFF"/>
        <w:textAlignment w:val="baseline"/>
        <w:rPr>
          <w:rFonts w:ascii="Century Gothic" w:hAnsi="Century Gothic"/>
          <w:color w:val="000000"/>
        </w:rPr>
      </w:pPr>
      <w:r w:rsidRPr="006A5C9D">
        <w:rPr>
          <w:rFonts w:ascii="Century Gothic" w:hAnsi="Century Gothic"/>
          <w:color w:val="000000"/>
          <w:bdr w:val="none" w:sz="0" w:space="0" w:color="auto" w:frame="1"/>
        </w:rPr>
        <w:br/>
      </w:r>
      <w:r w:rsidRPr="006A5C9D">
        <w:rPr>
          <w:rStyle w:val="vkif2"/>
          <w:rFonts w:ascii="Century Gothic" w:hAnsi="Century Gothic"/>
          <w:color w:val="000000"/>
          <w:bdr w:val="none" w:sz="0" w:space="0" w:color="auto" w:frame="1"/>
        </w:rPr>
        <w:t>We believe the Trust is a highly desirable place of work for an ambitious professional, who will be joining one of the most supportive and talented teams in the country.</w:t>
      </w:r>
    </w:p>
    <w:p w14:paraId="1FF9C140" w14:textId="77777777" w:rsidR="00D57379" w:rsidRPr="006A5C9D" w:rsidRDefault="00D57379" w:rsidP="00AA197D">
      <w:pPr>
        <w:spacing w:line="0" w:lineRule="atLeast"/>
        <w:rPr>
          <w:rFonts w:ascii="Century Gothic" w:eastAsia="Century Gothic" w:hAnsi="Century Gothic" w:cs="Arial"/>
          <w:b/>
          <w:lang w:eastAsia="en-GB"/>
        </w:rPr>
      </w:pPr>
    </w:p>
    <w:p w14:paraId="039ED80D" w14:textId="7013E688" w:rsidR="00AA197D" w:rsidRPr="006A5C9D" w:rsidRDefault="00AA197D" w:rsidP="00AA197D">
      <w:pPr>
        <w:spacing w:line="0" w:lineRule="atLeast"/>
        <w:rPr>
          <w:rFonts w:ascii="Century Gothic" w:eastAsia="Century Gothic" w:hAnsi="Century Gothic" w:cs="Arial"/>
          <w:b/>
          <w:lang w:eastAsia="en-GB"/>
        </w:rPr>
      </w:pPr>
      <w:bookmarkStart w:id="0" w:name="_Hlk85197375"/>
      <w:r w:rsidRPr="006A5C9D">
        <w:rPr>
          <w:rFonts w:ascii="Century Gothic" w:eastAsia="Century Gothic" w:hAnsi="Century Gothic" w:cs="Arial"/>
          <w:b/>
          <w:lang w:eastAsia="en-GB"/>
        </w:rPr>
        <w:t>Role:</w:t>
      </w:r>
    </w:p>
    <w:p w14:paraId="467FF4DA" w14:textId="755F02FE" w:rsidR="00702666" w:rsidRPr="006A5C9D" w:rsidRDefault="00702666" w:rsidP="00AA197D">
      <w:pPr>
        <w:spacing w:line="0" w:lineRule="atLeast"/>
        <w:rPr>
          <w:rFonts w:ascii="Century Gothic" w:eastAsia="Century Gothic" w:hAnsi="Century Gothic" w:cs="Arial"/>
          <w:b/>
          <w:lang w:eastAsia="en-GB"/>
        </w:rPr>
      </w:pPr>
    </w:p>
    <w:p w14:paraId="00EAB371" w14:textId="404C1C20" w:rsidR="00675C23" w:rsidRPr="006A5C9D" w:rsidRDefault="00675C23" w:rsidP="00675C23">
      <w:pPr>
        <w:autoSpaceDE w:val="0"/>
        <w:autoSpaceDN w:val="0"/>
        <w:adjustRightInd w:val="0"/>
        <w:rPr>
          <w:rFonts w:ascii="Century Gothic" w:eastAsiaTheme="minorHAnsi" w:hAnsi="Century Gothic" w:cs="CenturyGothic"/>
          <w:lang w:val="en-GB"/>
        </w:rPr>
      </w:pPr>
      <w:r w:rsidRPr="006A5C9D">
        <w:rPr>
          <w:rFonts w:ascii="Century Gothic" w:eastAsiaTheme="minorHAnsi" w:hAnsi="Century Gothic" w:cs="CenturyGothic"/>
          <w:lang w:val="en-GB"/>
        </w:rPr>
        <w:t>The Head of Governance is a leadership role within the White Rose Academies Trust central operations and services structure. The post-holder will report independently to the trust board, whilst working collaboratively with the Trust Business Director and Group Director of Governance to support operational delivery of trust strategic objectives.</w:t>
      </w:r>
    </w:p>
    <w:p w14:paraId="42DFD80F" w14:textId="77777777" w:rsidR="00675C23" w:rsidRPr="006A5C9D" w:rsidRDefault="00675C23" w:rsidP="00675C23">
      <w:pPr>
        <w:autoSpaceDE w:val="0"/>
        <w:autoSpaceDN w:val="0"/>
        <w:adjustRightInd w:val="0"/>
        <w:rPr>
          <w:rFonts w:ascii="Century Gothic" w:eastAsiaTheme="minorHAnsi" w:hAnsi="Century Gothic" w:cs="CenturyGothic"/>
          <w:lang w:val="en-GB"/>
        </w:rPr>
      </w:pPr>
    </w:p>
    <w:p w14:paraId="37075514" w14:textId="1FFF3A53" w:rsidR="00675C23" w:rsidRPr="006A5C9D" w:rsidRDefault="00675C23" w:rsidP="00675C23">
      <w:pPr>
        <w:autoSpaceDE w:val="0"/>
        <w:autoSpaceDN w:val="0"/>
        <w:adjustRightInd w:val="0"/>
        <w:rPr>
          <w:rFonts w:ascii="Century Gothic" w:eastAsiaTheme="minorHAnsi" w:hAnsi="Century Gothic" w:cs="CenturyGothic"/>
          <w:lang w:val="en-GB"/>
        </w:rPr>
      </w:pPr>
      <w:r w:rsidRPr="006A5C9D">
        <w:rPr>
          <w:rFonts w:ascii="Century Gothic" w:eastAsiaTheme="minorHAnsi" w:hAnsi="Century Gothic" w:cs="CenturyGothic"/>
          <w:lang w:val="en-GB"/>
        </w:rPr>
        <w:t>The Head of Governance is responsible for overseeing all aspects of governance effectiveness and compliance within the Trust, ensuring governance adheres to good practice and meets all statutory and regulatory requirements. This will be achieved by:</w:t>
      </w:r>
    </w:p>
    <w:p w14:paraId="506C536F" w14:textId="29C4EC0C" w:rsidR="00675C23" w:rsidRPr="006A5C9D" w:rsidRDefault="00675C23" w:rsidP="00675C23">
      <w:pPr>
        <w:pStyle w:val="ListParagraph"/>
        <w:numPr>
          <w:ilvl w:val="0"/>
          <w:numId w:val="14"/>
        </w:numPr>
        <w:autoSpaceDE w:val="0"/>
        <w:autoSpaceDN w:val="0"/>
        <w:adjustRightInd w:val="0"/>
        <w:rPr>
          <w:rFonts w:ascii="Century Gothic" w:hAnsi="Century Gothic" w:cs="CenturyGothic"/>
        </w:rPr>
      </w:pPr>
      <w:r w:rsidRPr="006A5C9D">
        <w:rPr>
          <w:rFonts w:ascii="Century Gothic" w:hAnsi="Century Gothic" w:cs="CenturyGothic"/>
        </w:rPr>
        <w:t>supporting the efficient and effective operation of the trust board, its committees and local accountability boards (LABs)</w:t>
      </w:r>
    </w:p>
    <w:p w14:paraId="5FAADDC2" w14:textId="2E888524" w:rsidR="00675C23" w:rsidRPr="006A5C9D" w:rsidRDefault="00675C23" w:rsidP="00675C23">
      <w:pPr>
        <w:pStyle w:val="ListParagraph"/>
        <w:numPr>
          <w:ilvl w:val="0"/>
          <w:numId w:val="14"/>
        </w:numPr>
        <w:autoSpaceDE w:val="0"/>
        <w:autoSpaceDN w:val="0"/>
        <w:adjustRightInd w:val="0"/>
        <w:rPr>
          <w:rFonts w:ascii="Century Gothic" w:hAnsi="Century Gothic" w:cs="CenturyGothic"/>
        </w:rPr>
      </w:pPr>
      <w:r w:rsidRPr="006A5C9D">
        <w:rPr>
          <w:rFonts w:ascii="Century Gothic" w:hAnsi="Century Gothic" w:cs="CenturyGothic"/>
        </w:rPr>
        <w:t xml:space="preserve">leading on the development of the trust’s governance framework and driving improvements to its systems, </w:t>
      </w:r>
      <w:proofErr w:type="gramStart"/>
      <w:r w:rsidRPr="006A5C9D">
        <w:rPr>
          <w:rFonts w:ascii="Century Gothic" w:hAnsi="Century Gothic" w:cs="CenturyGothic"/>
        </w:rPr>
        <w:t>processes</w:t>
      </w:r>
      <w:proofErr w:type="gramEnd"/>
      <w:r w:rsidRPr="006A5C9D">
        <w:rPr>
          <w:rFonts w:ascii="Century Gothic" w:hAnsi="Century Gothic" w:cs="CenturyGothic"/>
        </w:rPr>
        <w:t xml:space="preserve"> and structures</w:t>
      </w:r>
    </w:p>
    <w:p w14:paraId="588C6C02" w14:textId="205A9211" w:rsidR="00675C23" w:rsidRPr="006A5C9D" w:rsidRDefault="00675C23" w:rsidP="00675C23">
      <w:pPr>
        <w:pStyle w:val="ListParagraph"/>
        <w:numPr>
          <w:ilvl w:val="0"/>
          <w:numId w:val="14"/>
        </w:numPr>
        <w:autoSpaceDE w:val="0"/>
        <w:autoSpaceDN w:val="0"/>
        <w:adjustRightInd w:val="0"/>
        <w:rPr>
          <w:rFonts w:ascii="Century Gothic" w:hAnsi="Century Gothic" w:cs="CenturyGothic"/>
        </w:rPr>
      </w:pPr>
      <w:r w:rsidRPr="006A5C9D">
        <w:rPr>
          <w:rFonts w:ascii="Century Gothic" w:hAnsi="Century Gothic" w:cs="CenturyGothic"/>
        </w:rPr>
        <w:t>managing and co-ordinating the delivery and ongoing improvement of governance support across the trust</w:t>
      </w:r>
    </w:p>
    <w:p w14:paraId="03370106" w14:textId="77777777" w:rsidR="00675C23" w:rsidRPr="006A5C9D" w:rsidRDefault="00675C23" w:rsidP="00675C23">
      <w:pPr>
        <w:autoSpaceDE w:val="0"/>
        <w:autoSpaceDN w:val="0"/>
        <w:adjustRightInd w:val="0"/>
        <w:rPr>
          <w:rFonts w:ascii="Century Gothic" w:eastAsiaTheme="minorHAnsi" w:hAnsi="Century Gothic" w:cs="CenturyGothic"/>
          <w:lang w:val="en-GB"/>
        </w:rPr>
      </w:pPr>
    </w:p>
    <w:p w14:paraId="1E1879F2" w14:textId="77777777" w:rsidR="00675C23" w:rsidRPr="006A5C9D" w:rsidRDefault="00675C23" w:rsidP="00675C23">
      <w:pPr>
        <w:autoSpaceDE w:val="0"/>
        <w:autoSpaceDN w:val="0"/>
        <w:adjustRightInd w:val="0"/>
        <w:rPr>
          <w:rFonts w:ascii="Century Gothic" w:eastAsiaTheme="minorHAnsi" w:hAnsi="Century Gothic" w:cs="CenturyGothic"/>
          <w:lang w:val="en-GB"/>
        </w:rPr>
      </w:pPr>
      <w:r w:rsidRPr="006A5C9D">
        <w:rPr>
          <w:rFonts w:ascii="Century Gothic" w:eastAsiaTheme="minorHAnsi" w:hAnsi="Century Gothic" w:cs="CenturyGothic"/>
          <w:lang w:val="en-GB"/>
        </w:rPr>
        <w:t>The Head of Governance will also act as Company Secretary, including:</w:t>
      </w:r>
    </w:p>
    <w:p w14:paraId="2C0AFE00" w14:textId="4C0B4754" w:rsidR="00675C23" w:rsidRPr="006A5C9D" w:rsidRDefault="00675C23" w:rsidP="00675C23">
      <w:pPr>
        <w:pStyle w:val="ListParagraph"/>
        <w:numPr>
          <w:ilvl w:val="0"/>
          <w:numId w:val="12"/>
        </w:numPr>
        <w:autoSpaceDE w:val="0"/>
        <w:autoSpaceDN w:val="0"/>
        <w:adjustRightInd w:val="0"/>
        <w:rPr>
          <w:rFonts w:ascii="Century Gothic" w:hAnsi="Century Gothic" w:cs="CenturyGothic"/>
        </w:rPr>
      </w:pPr>
      <w:r w:rsidRPr="006A5C9D">
        <w:rPr>
          <w:rFonts w:ascii="Century Gothic" w:hAnsi="Century Gothic" w:cs="CenturyGothic"/>
        </w:rPr>
        <w:t>preparing annual company reports, compliant with both financial and legal requirements</w:t>
      </w:r>
    </w:p>
    <w:p w14:paraId="3CBF0B9C" w14:textId="1D899174" w:rsidR="00675C23" w:rsidRPr="006A5C9D" w:rsidRDefault="00675C23" w:rsidP="00675C23">
      <w:pPr>
        <w:pStyle w:val="ListParagraph"/>
        <w:numPr>
          <w:ilvl w:val="0"/>
          <w:numId w:val="12"/>
        </w:numPr>
        <w:autoSpaceDE w:val="0"/>
        <w:autoSpaceDN w:val="0"/>
        <w:adjustRightInd w:val="0"/>
        <w:rPr>
          <w:rFonts w:ascii="Century Gothic" w:hAnsi="Century Gothic" w:cs="CenturyGothic"/>
        </w:rPr>
      </w:pPr>
      <w:r w:rsidRPr="006A5C9D">
        <w:rPr>
          <w:rFonts w:ascii="Century Gothic" w:hAnsi="Century Gothic" w:cs="CenturyGothic"/>
        </w:rPr>
        <w:t>providing advice on constitutional and procedural matters</w:t>
      </w:r>
    </w:p>
    <w:p w14:paraId="488B9934" w14:textId="50EFCBD4" w:rsidR="00675C23" w:rsidRPr="006A5C9D" w:rsidRDefault="00675C23" w:rsidP="0063771C">
      <w:pPr>
        <w:pStyle w:val="ListParagraph"/>
        <w:numPr>
          <w:ilvl w:val="0"/>
          <w:numId w:val="11"/>
        </w:numPr>
        <w:autoSpaceDE w:val="0"/>
        <w:autoSpaceDN w:val="0"/>
        <w:adjustRightInd w:val="0"/>
        <w:rPr>
          <w:rFonts w:ascii="Century Gothic" w:hAnsi="Century Gothic" w:cs="CenturyGothic"/>
        </w:rPr>
      </w:pPr>
      <w:r w:rsidRPr="006A5C9D">
        <w:rPr>
          <w:rFonts w:ascii="Century Gothic" w:hAnsi="Century Gothic" w:cs="CenturyGothic"/>
        </w:rPr>
        <w:t xml:space="preserve">communicating with other professionals (e.g., lawyers and auditors) and stakeholders (e.g., DfE, </w:t>
      </w:r>
      <w:proofErr w:type="gramStart"/>
      <w:r w:rsidRPr="006A5C9D">
        <w:rPr>
          <w:rFonts w:ascii="Century Gothic" w:hAnsi="Century Gothic" w:cs="CenturyGothic"/>
        </w:rPr>
        <w:t>ESFA,RSC</w:t>
      </w:r>
      <w:proofErr w:type="gramEnd"/>
      <w:r w:rsidRPr="006A5C9D">
        <w:rPr>
          <w:rFonts w:ascii="Century Gothic" w:hAnsi="Century Gothic" w:cs="CenturyGothic"/>
        </w:rPr>
        <w:t>)</w:t>
      </w:r>
    </w:p>
    <w:p w14:paraId="2E813C0E" w14:textId="3C9469B8" w:rsidR="00675C23" w:rsidRPr="006A5C9D" w:rsidRDefault="00675C23" w:rsidP="00675C23">
      <w:pPr>
        <w:pStyle w:val="ListParagraph"/>
        <w:numPr>
          <w:ilvl w:val="0"/>
          <w:numId w:val="12"/>
        </w:numPr>
        <w:autoSpaceDE w:val="0"/>
        <w:autoSpaceDN w:val="0"/>
        <w:adjustRightInd w:val="0"/>
        <w:rPr>
          <w:rFonts w:ascii="Century Gothic" w:hAnsi="Century Gothic" w:cs="CenturyGothic"/>
        </w:rPr>
      </w:pPr>
      <w:r w:rsidRPr="006A5C9D">
        <w:rPr>
          <w:rFonts w:ascii="Century Gothic" w:hAnsi="Century Gothic" w:cs="CenturyGothic"/>
        </w:rPr>
        <w:t>keeping up to date with policy, legal and statutory requirements</w:t>
      </w:r>
    </w:p>
    <w:p w14:paraId="5902BB7E" w14:textId="4F5A418E" w:rsidR="00675C23" w:rsidRPr="006A5C9D" w:rsidRDefault="00675C23" w:rsidP="00675C23">
      <w:pPr>
        <w:pStyle w:val="ListParagraph"/>
        <w:numPr>
          <w:ilvl w:val="0"/>
          <w:numId w:val="12"/>
        </w:numPr>
        <w:spacing w:line="0" w:lineRule="atLeast"/>
        <w:rPr>
          <w:rFonts w:ascii="Century Gothic" w:eastAsia="Century Gothic" w:hAnsi="Century Gothic" w:cs="Arial"/>
          <w:b/>
          <w:lang w:eastAsia="en-GB"/>
        </w:rPr>
      </w:pPr>
      <w:r w:rsidRPr="006A5C9D">
        <w:rPr>
          <w:rFonts w:ascii="Century Gothic" w:hAnsi="Century Gothic" w:cs="CenturyGothic"/>
        </w:rPr>
        <w:t>notifying relevant authorities of any changes to membership</w:t>
      </w:r>
    </w:p>
    <w:bookmarkEnd w:id="0"/>
    <w:p w14:paraId="2147851D" w14:textId="218991AD" w:rsidR="00793962" w:rsidRPr="006A5C9D" w:rsidRDefault="00AA197D" w:rsidP="000F09C5">
      <w:pPr>
        <w:shd w:val="clear" w:color="auto" w:fill="FFFFFF"/>
        <w:spacing w:before="100" w:beforeAutospacing="1" w:after="100" w:afterAutospacing="1"/>
        <w:jc w:val="both"/>
        <w:rPr>
          <w:rFonts w:ascii="Century Gothic" w:hAnsi="Century Gothic"/>
          <w:color w:val="323130"/>
        </w:rPr>
      </w:pPr>
      <w:r w:rsidRPr="006A5C9D">
        <w:rPr>
          <w:rFonts w:ascii="Century Gothic" w:hAnsi="Century Gothic"/>
          <w:color w:val="323130"/>
        </w:rPr>
        <w:lastRenderedPageBreak/>
        <w:t>White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w:t>
      </w:r>
    </w:p>
    <w:p w14:paraId="0AA41267" w14:textId="1BDDA675" w:rsidR="00AA197D" w:rsidRPr="006A5C9D" w:rsidRDefault="00AA197D" w:rsidP="00AA197D">
      <w:pPr>
        <w:shd w:val="clear" w:color="auto" w:fill="FFFFFF"/>
        <w:spacing w:before="100" w:beforeAutospacing="1" w:after="100" w:afterAutospacing="1"/>
        <w:jc w:val="both"/>
        <w:rPr>
          <w:rFonts w:ascii="Century Gothic" w:hAnsi="Century Gothic"/>
        </w:rPr>
      </w:pPr>
      <w:r w:rsidRPr="006A5C9D">
        <w:rPr>
          <w:rFonts w:ascii="Century Gothic" w:hAnsi="Century Gothic"/>
          <w:color w:val="323130"/>
        </w:rPr>
        <w:t>The Trust employs over </w:t>
      </w:r>
      <w:r w:rsidRPr="006A5C9D">
        <w:rPr>
          <w:rFonts w:ascii="Century Gothic" w:hAnsi="Century Gothic"/>
          <w:color w:val="000000"/>
        </w:rPr>
        <w:t>450</w:t>
      </w:r>
      <w:r w:rsidRPr="006A5C9D">
        <w:rPr>
          <w:rFonts w:ascii="Century Gothic" w:hAnsi="Century Gothic"/>
          <w:color w:val="201F1E"/>
        </w:rPr>
        <w:t> </w:t>
      </w:r>
      <w:r w:rsidRPr="006A5C9D">
        <w:rPr>
          <w:rFonts w:ascii="Century Gothic" w:hAnsi="Century Gothic"/>
          <w:color w:val="323130"/>
        </w:rPr>
        <w:t>outstanding professionals who are committed to unlocking the potential of the next generation. Our CPD Programme is focused </w:t>
      </w:r>
      <w:r w:rsidRPr="006A5C9D">
        <w:rPr>
          <w:rFonts w:ascii="Century Gothic" w:hAnsi="Century Gothic"/>
          <w:color w:val="201F1E"/>
        </w:rPr>
        <w:t>on innovation, leadership development and delivery of excellence for vulnerable groups</w:t>
      </w:r>
      <w:r w:rsidRPr="006A5C9D">
        <w:rPr>
          <w:rFonts w:ascii="Century Gothic" w:hAnsi="Century Gothic"/>
          <w:color w:val="323130"/>
        </w:rPr>
        <w:t xml:space="preserve">. Our Beginner Teacher Programme is amongst the best in the region. We are on a significant journey which will see </w:t>
      </w:r>
      <w:proofErr w:type="gramStart"/>
      <w:r w:rsidRPr="006A5C9D">
        <w:rPr>
          <w:rFonts w:ascii="Century Gothic" w:hAnsi="Century Gothic"/>
          <w:color w:val="323130"/>
        </w:rPr>
        <w:t>all of</w:t>
      </w:r>
      <w:proofErr w:type="gramEnd"/>
      <w:r w:rsidRPr="006A5C9D">
        <w:rPr>
          <w:rFonts w:ascii="Century Gothic" w:hAnsi="Century Gothic"/>
          <w:color w:val="323130"/>
        </w:rPr>
        <w:t xml:space="preserve"> our schools </w:t>
      </w:r>
      <w:proofErr w:type="spellStart"/>
      <w:r w:rsidRPr="006A5C9D">
        <w:rPr>
          <w:rFonts w:ascii="Century Gothic" w:hAnsi="Century Gothic"/>
          <w:color w:val="323130"/>
        </w:rPr>
        <w:t>Ofsted</w:t>
      </w:r>
      <w:proofErr w:type="spellEnd"/>
      <w:r w:rsidRPr="006A5C9D">
        <w:rPr>
          <w:rFonts w:ascii="Century Gothic" w:hAnsi="Century Gothic"/>
          <w:color w:val="323130"/>
        </w:rPr>
        <w:t xml:space="preserve"> rated as </w:t>
      </w:r>
      <w:r w:rsidRPr="006A5C9D">
        <w:rPr>
          <w:rFonts w:ascii="Century Gothic" w:hAnsi="Century Gothic"/>
          <w:color w:val="201F1E"/>
        </w:rPr>
        <w:t>World Class within five </w:t>
      </w:r>
      <w:r w:rsidRPr="006A5C9D">
        <w:rPr>
          <w:rFonts w:ascii="Century Gothic" w:hAnsi="Century Gothic"/>
          <w:color w:val="323130"/>
        </w:rPr>
        <w:t>years.</w:t>
      </w:r>
    </w:p>
    <w:p w14:paraId="5362AA32" w14:textId="2A4942A2" w:rsidR="00AA197D" w:rsidRPr="006A5C9D" w:rsidRDefault="00AA197D" w:rsidP="00AA197D">
      <w:pPr>
        <w:shd w:val="clear" w:color="auto" w:fill="FFFFFF"/>
        <w:spacing w:before="100" w:beforeAutospacing="1" w:after="100" w:afterAutospacing="1"/>
        <w:jc w:val="both"/>
        <w:rPr>
          <w:rFonts w:ascii="Century Gothic" w:hAnsi="Century Gothic"/>
        </w:rPr>
      </w:pPr>
      <w:r w:rsidRPr="006A5C9D">
        <w:rPr>
          <w:rFonts w:ascii="Century Gothic" w:hAnsi="Century Gothic"/>
          <w:color w:val="201F1E"/>
        </w:rPr>
        <w:t xml:space="preserve">White Rose Academies Trust is a member of Luminate Education Group, other members include Harrogate College, Keighley College, Leeds City </w:t>
      </w:r>
      <w:proofErr w:type="gramStart"/>
      <w:r w:rsidRPr="006A5C9D">
        <w:rPr>
          <w:rFonts w:ascii="Century Gothic" w:hAnsi="Century Gothic"/>
          <w:color w:val="201F1E"/>
        </w:rPr>
        <w:t>College</w:t>
      </w:r>
      <w:proofErr w:type="gramEnd"/>
      <w:r w:rsidRPr="006A5C9D">
        <w:rPr>
          <w:rFonts w:ascii="Century Gothic" w:hAnsi="Century Gothic"/>
          <w:color w:val="201F1E"/>
        </w:rPr>
        <w:t xml:space="preserve"> and Leeds Conservatoire. The Group provides expertise, international networks, and highly desirable employability prospects within education and beyond.</w:t>
      </w:r>
    </w:p>
    <w:p w14:paraId="0B282386" w14:textId="25D62E86" w:rsidR="00AA197D" w:rsidRPr="006A5C9D" w:rsidRDefault="00AA197D" w:rsidP="00AA197D">
      <w:pPr>
        <w:shd w:val="clear" w:color="auto" w:fill="FFFFFF"/>
        <w:spacing w:before="100" w:beforeAutospacing="1" w:after="100" w:afterAutospacing="1"/>
        <w:jc w:val="both"/>
        <w:rPr>
          <w:rFonts w:ascii="Century Gothic" w:hAnsi="Century Gothic"/>
        </w:rPr>
      </w:pPr>
      <w:r w:rsidRPr="006A5C9D">
        <w:rPr>
          <w:rFonts w:ascii="Century Gothic" w:hAnsi="Century Gothic"/>
          <w:b/>
          <w:bCs/>
          <w:color w:val="000000"/>
        </w:rPr>
        <w:t>Closing date:    </w:t>
      </w:r>
      <w:r w:rsidR="00702666" w:rsidRPr="006A5C9D">
        <w:rPr>
          <w:rFonts w:ascii="Century Gothic" w:hAnsi="Century Gothic"/>
          <w:b/>
          <w:bCs/>
          <w:color w:val="000000"/>
        </w:rPr>
        <w:tab/>
      </w:r>
      <w:r w:rsidR="005E4AAA" w:rsidRPr="006A5C9D">
        <w:rPr>
          <w:rFonts w:ascii="Century Gothic" w:hAnsi="Century Gothic"/>
          <w:color w:val="000000"/>
        </w:rPr>
        <w:t>Monday 6</w:t>
      </w:r>
      <w:r w:rsidR="005E4AAA" w:rsidRPr="006A5C9D">
        <w:rPr>
          <w:rFonts w:ascii="Century Gothic" w:hAnsi="Century Gothic"/>
          <w:color w:val="000000"/>
          <w:vertAlign w:val="superscript"/>
        </w:rPr>
        <w:t>th</w:t>
      </w:r>
      <w:r w:rsidR="005E4AAA" w:rsidRPr="006A5C9D">
        <w:rPr>
          <w:rFonts w:ascii="Century Gothic" w:hAnsi="Century Gothic"/>
          <w:color w:val="000000"/>
        </w:rPr>
        <w:t xml:space="preserve"> June 2022 9am</w:t>
      </w:r>
      <w:r w:rsidRPr="006A5C9D">
        <w:rPr>
          <w:rFonts w:ascii="Century Gothic" w:hAnsi="Century Gothic"/>
          <w:b/>
          <w:bCs/>
          <w:color w:val="000000"/>
        </w:rPr>
        <w:t>       </w:t>
      </w:r>
    </w:p>
    <w:p w14:paraId="1DE7799D" w14:textId="684D034F" w:rsidR="00AA197D" w:rsidRPr="006A5C9D" w:rsidRDefault="00AA197D" w:rsidP="00AA197D">
      <w:pPr>
        <w:shd w:val="clear" w:color="auto" w:fill="FFFFFF"/>
        <w:spacing w:before="100" w:beforeAutospacing="1" w:after="100" w:afterAutospacing="1"/>
        <w:jc w:val="both"/>
        <w:rPr>
          <w:rFonts w:ascii="Century Gothic" w:hAnsi="Century Gothic"/>
        </w:rPr>
      </w:pPr>
      <w:r w:rsidRPr="006A5C9D">
        <w:rPr>
          <w:rFonts w:ascii="Century Gothic" w:hAnsi="Century Gothic"/>
          <w:b/>
          <w:bCs/>
          <w:color w:val="000000"/>
        </w:rPr>
        <w:t>Shortlisting date: </w:t>
      </w:r>
      <w:r w:rsidR="00702666" w:rsidRPr="006A5C9D">
        <w:rPr>
          <w:rFonts w:ascii="Century Gothic" w:hAnsi="Century Gothic"/>
          <w:b/>
          <w:bCs/>
          <w:color w:val="000000"/>
        </w:rPr>
        <w:tab/>
      </w:r>
      <w:r w:rsidR="005E4AAA" w:rsidRPr="006A5C9D">
        <w:rPr>
          <w:rFonts w:ascii="Century Gothic" w:hAnsi="Century Gothic"/>
          <w:color w:val="000000"/>
        </w:rPr>
        <w:t>Monday 6</w:t>
      </w:r>
      <w:r w:rsidR="005E4AAA" w:rsidRPr="006A5C9D">
        <w:rPr>
          <w:rFonts w:ascii="Century Gothic" w:hAnsi="Century Gothic"/>
          <w:color w:val="000000"/>
          <w:vertAlign w:val="superscript"/>
        </w:rPr>
        <w:t>th</w:t>
      </w:r>
      <w:r w:rsidR="005E4AAA" w:rsidRPr="006A5C9D">
        <w:rPr>
          <w:rFonts w:ascii="Century Gothic" w:hAnsi="Century Gothic"/>
          <w:color w:val="000000"/>
        </w:rPr>
        <w:t xml:space="preserve"> June</w:t>
      </w:r>
      <w:r w:rsidR="00702666" w:rsidRPr="006A5C9D">
        <w:rPr>
          <w:rFonts w:ascii="Century Gothic" w:hAnsi="Century Gothic"/>
          <w:color w:val="000000"/>
        </w:rPr>
        <w:t> </w:t>
      </w:r>
      <w:r w:rsidR="005E4AAA" w:rsidRPr="006A5C9D">
        <w:rPr>
          <w:rFonts w:ascii="Century Gothic" w:hAnsi="Century Gothic"/>
          <w:color w:val="000000"/>
        </w:rPr>
        <w:t>2022</w:t>
      </w:r>
      <w:r w:rsidR="00702666" w:rsidRPr="006A5C9D">
        <w:rPr>
          <w:rFonts w:ascii="Century Gothic" w:hAnsi="Century Gothic"/>
          <w:b/>
          <w:bCs/>
          <w:color w:val="000000"/>
        </w:rPr>
        <w:t>      </w:t>
      </w:r>
      <w:r w:rsidRPr="006A5C9D">
        <w:rPr>
          <w:rFonts w:ascii="Century Gothic" w:hAnsi="Century Gothic"/>
          <w:b/>
          <w:bCs/>
          <w:color w:val="000000"/>
        </w:rPr>
        <w:t>    </w:t>
      </w:r>
    </w:p>
    <w:p w14:paraId="54313CC6" w14:textId="70CEDFB5" w:rsidR="00AA197D" w:rsidRPr="006A5C9D" w:rsidRDefault="00AA197D" w:rsidP="00AA197D">
      <w:pPr>
        <w:shd w:val="clear" w:color="auto" w:fill="FFFFFF"/>
        <w:spacing w:before="100" w:beforeAutospacing="1" w:after="100" w:afterAutospacing="1"/>
        <w:jc w:val="both"/>
        <w:rPr>
          <w:rFonts w:ascii="Century Gothic" w:hAnsi="Century Gothic"/>
        </w:rPr>
      </w:pPr>
      <w:r w:rsidRPr="006A5C9D">
        <w:rPr>
          <w:rFonts w:ascii="Century Gothic" w:hAnsi="Century Gothic"/>
          <w:b/>
          <w:bCs/>
          <w:color w:val="000000"/>
        </w:rPr>
        <w:t>Interview date:     </w:t>
      </w:r>
      <w:r w:rsidR="006F2093" w:rsidRPr="006A5C9D">
        <w:rPr>
          <w:rFonts w:ascii="Century Gothic" w:hAnsi="Century Gothic"/>
          <w:b/>
          <w:bCs/>
          <w:color w:val="000000"/>
        </w:rPr>
        <w:t xml:space="preserve"> </w:t>
      </w:r>
      <w:r w:rsidRPr="006A5C9D">
        <w:rPr>
          <w:rFonts w:ascii="Century Gothic" w:hAnsi="Century Gothic"/>
          <w:b/>
          <w:bCs/>
          <w:color w:val="000000"/>
        </w:rPr>
        <w:t> </w:t>
      </w:r>
      <w:r w:rsidR="00702666" w:rsidRPr="006A5C9D">
        <w:rPr>
          <w:rFonts w:ascii="Century Gothic" w:hAnsi="Century Gothic"/>
          <w:b/>
          <w:bCs/>
          <w:color w:val="000000"/>
        </w:rPr>
        <w:tab/>
      </w:r>
      <w:r w:rsidR="00702666" w:rsidRPr="006A5C9D">
        <w:rPr>
          <w:rFonts w:ascii="Century Gothic" w:eastAsiaTheme="minorHAnsi" w:hAnsi="Century Gothic" w:cs="CenturyGothic-Bold"/>
          <w:lang w:val="en-GB"/>
        </w:rPr>
        <w:t xml:space="preserve">W/C </w:t>
      </w:r>
      <w:r w:rsidR="005E4AAA" w:rsidRPr="006A5C9D">
        <w:rPr>
          <w:rFonts w:ascii="Century Gothic" w:eastAsiaTheme="minorHAnsi" w:hAnsi="Century Gothic" w:cs="CenturyGothic-Bold"/>
          <w:lang w:val="en-GB"/>
        </w:rPr>
        <w:t>13</w:t>
      </w:r>
      <w:r w:rsidR="005E4AAA" w:rsidRPr="006A5C9D">
        <w:rPr>
          <w:rFonts w:ascii="Century Gothic" w:eastAsiaTheme="minorHAnsi" w:hAnsi="Century Gothic" w:cs="CenturyGothic-Bold"/>
          <w:vertAlign w:val="superscript"/>
          <w:lang w:val="en-GB"/>
        </w:rPr>
        <w:t>th</w:t>
      </w:r>
      <w:r w:rsidR="005E4AAA" w:rsidRPr="006A5C9D">
        <w:rPr>
          <w:rFonts w:ascii="Century Gothic" w:eastAsiaTheme="minorHAnsi" w:hAnsi="Century Gothic" w:cs="CenturyGothic-Bold"/>
          <w:lang w:val="en-GB"/>
        </w:rPr>
        <w:t xml:space="preserve"> June 2022</w:t>
      </w:r>
    </w:p>
    <w:p w14:paraId="0FB32726" w14:textId="04E18454" w:rsidR="00793962" w:rsidRPr="006A5C9D" w:rsidRDefault="00AA197D" w:rsidP="00AA197D">
      <w:pPr>
        <w:shd w:val="clear" w:color="auto" w:fill="FFFFFF"/>
        <w:spacing w:before="100" w:beforeAutospacing="1" w:after="100" w:afterAutospacing="1"/>
        <w:jc w:val="both"/>
        <w:rPr>
          <w:rFonts w:ascii="Century Gothic" w:hAnsi="Century Gothic"/>
          <w:b/>
          <w:bCs/>
          <w:color w:val="000000"/>
          <w:shd w:val="clear" w:color="auto" w:fill="FFFFFF"/>
        </w:rPr>
      </w:pPr>
      <w:r w:rsidRPr="006A5C9D">
        <w:rPr>
          <w:rFonts w:ascii="Century Gothic" w:hAnsi="Century Gothic"/>
          <w:b/>
          <w:bCs/>
          <w:color w:val="000000"/>
          <w:shd w:val="clear" w:color="auto" w:fill="FFFFFF"/>
        </w:rPr>
        <w:t>Start date:     </w:t>
      </w:r>
      <w:r w:rsidR="00702666" w:rsidRPr="006A5C9D">
        <w:rPr>
          <w:rFonts w:ascii="Century Gothic" w:hAnsi="Century Gothic"/>
          <w:b/>
          <w:bCs/>
          <w:color w:val="000000"/>
          <w:shd w:val="clear" w:color="auto" w:fill="FFFFFF"/>
        </w:rPr>
        <w:tab/>
      </w:r>
      <w:r w:rsidR="00702666" w:rsidRPr="006A5C9D">
        <w:rPr>
          <w:rFonts w:ascii="Century Gothic" w:hAnsi="Century Gothic"/>
          <w:b/>
          <w:bCs/>
          <w:color w:val="000000"/>
          <w:shd w:val="clear" w:color="auto" w:fill="FFFFFF"/>
        </w:rPr>
        <w:tab/>
      </w:r>
      <w:r w:rsidR="00702666" w:rsidRPr="006A5C9D">
        <w:rPr>
          <w:rFonts w:ascii="Century Gothic" w:hAnsi="Century Gothic"/>
          <w:color w:val="000000"/>
          <w:shd w:val="clear" w:color="auto" w:fill="FFFFFF"/>
        </w:rPr>
        <w:t>A</w:t>
      </w:r>
      <w:r w:rsidR="005E4AAA" w:rsidRPr="006A5C9D">
        <w:rPr>
          <w:rFonts w:ascii="Century Gothic" w:hAnsi="Century Gothic"/>
          <w:color w:val="000000"/>
          <w:shd w:val="clear" w:color="auto" w:fill="FFFFFF"/>
        </w:rPr>
        <w:t>s soon as possible</w:t>
      </w:r>
    </w:p>
    <w:p w14:paraId="7BC14E96" w14:textId="77777777" w:rsidR="00793962" w:rsidRPr="006A5C9D" w:rsidRDefault="00793962" w:rsidP="00793962">
      <w:pPr>
        <w:shd w:val="clear" w:color="auto" w:fill="FFFFFF"/>
        <w:spacing w:before="100" w:beforeAutospacing="1" w:after="100" w:afterAutospacing="1"/>
        <w:jc w:val="both"/>
        <w:rPr>
          <w:rFonts w:ascii="Century Gothic" w:hAnsi="Century Gothic"/>
          <w:color w:val="212121"/>
          <w:lang w:val="en"/>
        </w:rPr>
      </w:pPr>
      <w:r w:rsidRPr="006A5C9D">
        <w:rPr>
          <w:rFonts w:ascii="Century Gothic" w:hAnsi="Century Gothic"/>
          <w:color w:val="212121"/>
          <w:lang w:val="en"/>
        </w:rPr>
        <w:t>For more information, please visit our website at </w:t>
      </w:r>
      <w:hyperlink r:id="rId5" w:history="1">
        <w:r w:rsidRPr="006A5C9D">
          <w:rPr>
            <w:rStyle w:val="Hyperlink"/>
            <w:rFonts w:ascii="Century Gothic" w:hAnsi="Century Gothic"/>
          </w:rPr>
          <w:t xml:space="preserve"> </w:t>
        </w:r>
        <w:hyperlink r:id="rId6" w:history="1">
          <w:r w:rsidRPr="006A5C9D">
            <w:rPr>
              <w:rStyle w:val="Hyperlink"/>
              <w:rFonts w:ascii="Century Gothic" w:hAnsi="Century Gothic"/>
            </w:rPr>
            <w:t>White Rose Academies Careers</w:t>
          </w:r>
        </w:hyperlink>
      </w:hyperlink>
      <w:r w:rsidRPr="006A5C9D">
        <w:rPr>
          <w:rFonts w:ascii="Century Gothic" w:hAnsi="Century Gothic"/>
          <w:color w:val="212121"/>
          <w:lang w:val="en"/>
        </w:rPr>
        <w:t xml:space="preserve"> .  </w:t>
      </w:r>
    </w:p>
    <w:p w14:paraId="66F1954C" w14:textId="77777777" w:rsidR="00793962" w:rsidRPr="006A5C9D" w:rsidRDefault="00793962" w:rsidP="00793962">
      <w:pPr>
        <w:shd w:val="clear" w:color="auto" w:fill="FFFFFF"/>
        <w:spacing w:after="150"/>
        <w:rPr>
          <w:rFonts w:ascii="Century Gothic" w:hAnsi="Century Gothic"/>
          <w:color w:val="222222"/>
        </w:rPr>
      </w:pPr>
      <w:bookmarkStart w:id="1" w:name="_Hlk85185843"/>
      <w:r w:rsidRPr="006A5C9D">
        <w:rPr>
          <w:rFonts w:ascii="Century Gothic" w:hAnsi="Century Gothic"/>
          <w:color w:val="222222"/>
        </w:rPr>
        <w:t xml:space="preserve">To apply, please complete the application form and return to </w:t>
      </w:r>
      <w:hyperlink r:id="rId7" w:history="1">
        <w:r w:rsidRPr="006A5C9D">
          <w:rPr>
            <w:rStyle w:val="Hyperlink"/>
            <w:rFonts w:ascii="Century Gothic" w:hAnsi="Century Gothic"/>
          </w:rPr>
          <w:t>recruitment@whiteroseacademies.org</w:t>
        </w:r>
      </w:hyperlink>
      <w:r w:rsidRPr="006A5C9D">
        <w:rPr>
          <w:rFonts w:ascii="Century Gothic" w:hAnsi="Century Gothic"/>
          <w:color w:val="222222"/>
        </w:rPr>
        <w:t xml:space="preserve"> by the closing date. Please note we are unable to accept CV’s.</w:t>
      </w:r>
    </w:p>
    <w:p w14:paraId="3CD5B488" w14:textId="64A1AC3C" w:rsidR="00364EF9" w:rsidRPr="006A5C9D" w:rsidRDefault="00364EF9" w:rsidP="00364EF9">
      <w:pPr>
        <w:rPr>
          <w:rFonts w:ascii="Century Gothic" w:hAnsi="Century Gothic" w:cs="Arial"/>
        </w:rPr>
      </w:pPr>
      <w:bookmarkStart w:id="2" w:name="_Hlk85185915"/>
      <w:bookmarkEnd w:id="1"/>
      <w:r w:rsidRPr="006A5C9D">
        <w:rPr>
          <w:rFonts w:ascii="Century Gothic"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29595EA7" w14:textId="77777777" w:rsidR="00364EF9" w:rsidRPr="006A5C9D" w:rsidRDefault="00364EF9" w:rsidP="00364EF9">
      <w:pPr>
        <w:rPr>
          <w:rFonts w:ascii="Century Gothic" w:hAnsi="Century Gothic" w:cs="Arial"/>
        </w:rPr>
      </w:pPr>
    </w:p>
    <w:p w14:paraId="6D7B9308" w14:textId="6490F2E0" w:rsidR="00364EF9" w:rsidRPr="006A5C9D" w:rsidRDefault="00364EF9" w:rsidP="00364EF9">
      <w:pPr>
        <w:rPr>
          <w:rFonts w:ascii="Century Gothic" w:hAnsi="Century Gothic" w:cs="Arial"/>
        </w:rPr>
      </w:pPr>
      <w:r w:rsidRPr="006A5C9D">
        <w:rPr>
          <w:rFonts w:ascii="Century Gothic" w:hAnsi="Century Gothic" w:cs="Arial"/>
        </w:rPr>
        <w:t>Please note this role will involve contact with children and you will be engaging in regulated activity. It is an offence to apply for the role if you are barred from engaging in regulated activity relevant to children.</w:t>
      </w:r>
    </w:p>
    <w:p w14:paraId="27C25CC9" w14:textId="77777777" w:rsidR="00364EF9" w:rsidRPr="006A5C9D" w:rsidRDefault="00364EF9" w:rsidP="00364EF9">
      <w:pPr>
        <w:rPr>
          <w:rFonts w:ascii="Century Gothic" w:hAnsi="Century Gothic" w:cs="Arial"/>
        </w:rPr>
      </w:pPr>
    </w:p>
    <w:p w14:paraId="38C47AA4" w14:textId="77777777" w:rsidR="00364EF9" w:rsidRPr="006A5C9D" w:rsidRDefault="00364EF9" w:rsidP="00364EF9">
      <w:pPr>
        <w:rPr>
          <w:rFonts w:ascii="Century Gothic" w:hAnsi="Century Gothic" w:cs="Arial"/>
        </w:rPr>
      </w:pPr>
      <w:r w:rsidRPr="006A5C9D">
        <w:rPr>
          <w:rFonts w:ascii="Century Gothic" w:hAnsi="Century Gothic" w:cs="Arial"/>
        </w:rPr>
        <w:t xml:space="preserve">We promote diversity and want a workforce which reflects the population of Leeds.  Applications are welcome from all, irrespective of sex, sexuality, race, religion, marital status, </w:t>
      </w:r>
      <w:proofErr w:type="gramStart"/>
      <w:r w:rsidRPr="006A5C9D">
        <w:rPr>
          <w:rFonts w:ascii="Century Gothic" w:hAnsi="Century Gothic" w:cs="Arial"/>
        </w:rPr>
        <w:t>age</w:t>
      </w:r>
      <w:proofErr w:type="gramEnd"/>
      <w:r w:rsidRPr="006A5C9D">
        <w:rPr>
          <w:rFonts w:ascii="Century Gothic" w:hAnsi="Century Gothic" w:cs="Arial"/>
        </w:rPr>
        <w:t xml:space="preserve"> or disability.</w:t>
      </w:r>
    </w:p>
    <w:p w14:paraId="3A2E44B2" w14:textId="77777777" w:rsidR="00364EF9" w:rsidRPr="006A5C9D" w:rsidRDefault="00364EF9" w:rsidP="00793962">
      <w:pPr>
        <w:rPr>
          <w:rFonts w:ascii="Century Gothic" w:hAnsi="Century Gothic" w:cs="Arial"/>
        </w:rPr>
      </w:pPr>
    </w:p>
    <w:p w14:paraId="5CA9CA43" w14:textId="77777777" w:rsidR="00793962" w:rsidRPr="006A5C9D" w:rsidRDefault="00793962" w:rsidP="00793962">
      <w:pPr>
        <w:shd w:val="clear" w:color="auto" w:fill="FFFFFF"/>
        <w:spacing w:after="150"/>
        <w:rPr>
          <w:rFonts w:ascii="Century Gothic" w:hAnsi="Century Gothic"/>
          <w:b/>
          <w:bCs/>
          <w:color w:val="222222"/>
        </w:rPr>
      </w:pPr>
      <w:bookmarkStart w:id="3" w:name="_Hlk85185900"/>
      <w:bookmarkEnd w:id="2"/>
      <w:r w:rsidRPr="006A5C9D">
        <w:rPr>
          <w:rFonts w:ascii="Century Gothic" w:hAnsi="Century Gothic"/>
          <w:b/>
          <w:bCs/>
          <w:color w:val="222222"/>
        </w:rPr>
        <w:t>PLEASE NOTE THE REQUIREMENT TO ATTACH YOUR APPLICATION FORM AS A SEPARATE DOCUMENT TO YOUR EQUAL OPPORTUNITIES FORM WHEN EMAILING YOUR APPLICATION TO US.</w:t>
      </w:r>
    </w:p>
    <w:bookmarkEnd w:id="3"/>
    <w:sectPr w:rsidR="00793962" w:rsidRPr="006A5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01"/>
    <w:multiLevelType w:val="hybridMultilevel"/>
    <w:tmpl w:val="5A166D88"/>
    <w:lvl w:ilvl="0" w:tplc="539A9B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AA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DCD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1EC7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4AC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C7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064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45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8072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05D78"/>
    <w:multiLevelType w:val="hybridMultilevel"/>
    <w:tmpl w:val="05B41A8E"/>
    <w:lvl w:ilvl="0" w:tplc="5FEA31CE">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C4787"/>
    <w:multiLevelType w:val="hybridMultilevel"/>
    <w:tmpl w:val="92CC227A"/>
    <w:lvl w:ilvl="0" w:tplc="5FEA31CE">
      <w:numFmt w:val="bullet"/>
      <w:lvlText w:val="•"/>
      <w:lvlJc w:val="left"/>
      <w:pPr>
        <w:ind w:left="1080" w:hanging="360"/>
      </w:pPr>
      <w:rPr>
        <w:rFonts w:ascii="Century Gothic" w:eastAsiaTheme="minorHAnsi" w:hAnsi="Century Gothic" w:cs="Century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805C2"/>
    <w:multiLevelType w:val="hybridMultilevel"/>
    <w:tmpl w:val="056C7A0E"/>
    <w:lvl w:ilvl="0" w:tplc="CB4241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0A4F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5213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28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0F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0D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B02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8B3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E4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561521"/>
    <w:multiLevelType w:val="hybridMultilevel"/>
    <w:tmpl w:val="A44C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75C6B"/>
    <w:multiLevelType w:val="hybridMultilevel"/>
    <w:tmpl w:val="6290AF06"/>
    <w:lvl w:ilvl="0" w:tplc="FFFFFFFF">
      <w:start w:val="1"/>
      <w:numFmt w:val="bullet"/>
      <w:lvlText w:val="•"/>
      <w:lvlJc w:val="left"/>
      <w:pPr>
        <w:ind w:left="705"/>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95C66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BCFD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C3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26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647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0BA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2E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009D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65319"/>
    <w:multiLevelType w:val="hybridMultilevel"/>
    <w:tmpl w:val="41D05296"/>
    <w:lvl w:ilvl="0" w:tplc="08090001">
      <w:start w:val="1"/>
      <w:numFmt w:val="bullet"/>
      <w:lvlText w:val=""/>
      <w:lvlJc w:val="left"/>
      <w:pPr>
        <w:ind w:left="6171" w:hanging="360"/>
      </w:pPr>
      <w:rPr>
        <w:rFonts w:ascii="Symbol" w:hAnsi="Symbol" w:hint="default"/>
      </w:rPr>
    </w:lvl>
    <w:lvl w:ilvl="1" w:tplc="08090003">
      <w:start w:val="1"/>
      <w:numFmt w:val="bullet"/>
      <w:lvlText w:val="o"/>
      <w:lvlJc w:val="left"/>
      <w:pPr>
        <w:ind w:left="6891" w:hanging="360"/>
      </w:pPr>
      <w:rPr>
        <w:rFonts w:ascii="Courier New" w:hAnsi="Courier New" w:cs="Courier New" w:hint="default"/>
      </w:rPr>
    </w:lvl>
    <w:lvl w:ilvl="2" w:tplc="08090005">
      <w:start w:val="1"/>
      <w:numFmt w:val="bullet"/>
      <w:lvlText w:val=""/>
      <w:lvlJc w:val="left"/>
      <w:pPr>
        <w:ind w:left="7611" w:hanging="360"/>
      </w:pPr>
      <w:rPr>
        <w:rFonts w:ascii="Wingdings" w:hAnsi="Wingdings" w:hint="default"/>
      </w:rPr>
    </w:lvl>
    <w:lvl w:ilvl="3" w:tplc="08090001">
      <w:start w:val="1"/>
      <w:numFmt w:val="bullet"/>
      <w:lvlText w:val=""/>
      <w:lvlJc w:val="left"/>
      <w:pPr>
        <w:ind w:left="8331" w:hanging="360"/>
      </w:pPr>
      <w:rPr>
        <w:rFonts w:ascii="Symbol" w:hAnsi="Symbol" w:hint="default"/>
      </w:rPr>
    </w:lvl>
    <w:lvl w:ilvl="4" w:tplc="08090003">
      <w:start w:val="1"/>
      <w:numFmt w:val="bullet"/>
      <w:lvlText w:val="o"/>
      <w:lvlJc w:val="left"/>
      <w:pPr>
        <w:ind w:left="9051" w:hanging="360"/>
      </w:pPr>
      <w:rPr>
        <w:rFonts w:ascii="Courier New" w:hAnsi="Courier New" w:cs="Courier New" w:hint="default"/>
      </w:rPr>
    </w:lvl>
    <w:lvl w:ilvl="5" w:tplc="08090005">
      <w:start w:val="1"/>
      <w:numFmt w:val="bullet"/>
      <w:lvlText w:val=""/>
      <w:lvlJc w:val="left"/>
      <w:pPr>
        <w:ind w:left="9771" w:hanging="360"/>
      </w:pPr>
      <w:rPr>
        <w:rFonts w:ascii="Wingdings" w:hAnsi="Wingdings" w:hint="default"/>
      </w:rPr>
    </w:lvl>
    <w:lvl w:ilvl="6" w:tplc="08090001">
      <w:start w:val="1"/>
      <w:numFmt w:val="bullet"/>
      <w:lvlText w:val=""/>
      <w:lvlJc w:val="left"/>
      <w:pPr>
        <w:ind w:left="10491" w:hanging="360"/>
      </w:pPr>
      <w:rPr>
        <w:rFonts w:ascii="Symbol" w:hAnsi="Symbol" w:hint="default"/>
      </w:rPr>
    </w:lvl>
    <w:lvl w:ilvl="7" w:tplc="08090003">
      <w:start w:val="1"/>
      <w:numFmt w:val="bullet"/>
      <w:lvlText w:val="o"/>
      <w:lvlJc w:val="left"/>
      <w:pPr>
        <w:ind w:left="11211" w:hanging="360"/>
      </w:pPr>
      <w:rPr>
        <w:rFonts w:ascii="Courier New" w:hAnsi="Courier New" w:cs="Courier New" w:hint="default"/>
      </w:rPr>
    </w:lvl>
    <w:lvl w:ilvl="8" w:tplc="08090005">
      <w:start w:val="1"/>
      <w:numFmt w:val="bullet"/>
      <w:lvlText w:val=""/>
      <w:lvlJc w:val="left"/>
      <w:pPr>
        <w:ind w:left="11931" w:hanging="360"/>
      </w:pPr>
      <w:rPr>
        <w:rFonts w:ascii="Wingdings" w:hAnsi="Wingdings" w:hint="default"/>
      </w:rPr>
    </w:lvl>
  </w:abstractNum>
  <w:abstractNum w:abstractNumId="7" w15:restartNumberingAfterBreak="0">
    <w:nsid w:val="5BAC1FF6"/>
    <w:multiLevelType w:val="hybridMultilevel"/>
    <w:tmpl w:val="C1662282"/>
    <w:lvl w:ilvl="0" w:tplc="5FEA31CE">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31CFB"/>
    <w:multiLevelType w:val="hybridMultilevel"/>
    <w:tmpl w:val="F8C68E42"/>
    <w:lvl w:ilvl="0" w:tplc="E5BA91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256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4DA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B88F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CCE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07E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49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04A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A202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BB3E7F"/>
    <w:multiLevelType w:val="hybridMultilevel"/>
    <w:tmpl w:val="B7E4497E"/>
    <w:lvl w:ilvl="0" w:tplc="5FEA31CE">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25457"/>
    <w:multiLevelType w:val="hybridMultilevel"/>
    <w:tmpl w:val="FFFFFFFF"/>
    <w:lvl w:ilvl="0" w:tplc="9F5E4E2E">
      <w:start w:val="1"/>
      <w:numFmt w:val="bullet"/>
      <w:lvlText w:val="•"/>
      <w:lvlJc w:val="left"/>
      <w:pPr>
        <w:ind w:left="720" w:hanging="360"/>
      </w:pPr>
      <w:rPr>
        <w:rFonts w:ascii="Arial" w:hAnsi="Arial" w:hint="default"/>
      </w:rPr>
    </w:lvl>
    <w:lvl w:ilvl="1" w:tplc="BFAC9E9C">
      <w:start w:val="1"/>
      <w:numFmt w:val="bullet"/>
      <w:lvlText w:val="o"/>
      <w:lvlJc w:val="left"/>
      <w:pPr>
        <w:ind w:left="1440" w:hanging="360"/>
      </w:pPr>
      <w:rPr>
        <w:rFonts w:ascii="Courier New" w:hAnsi="Courier New" w:hint="default"/>
      </w:rPr>
    </w:lvl>
    <w:lvl w:ilvl="2" w:tplc="495CCA64">
      <w:start w:val="1"/>
      <w:numFmt w:val="bullet"/>
      <w:lvlText w:val=""/>
      <w:lvlJc w:val="left"/>
      <w:pPr>
        <w:ind w:left="2160" w:hanging="360"/>
      </w:pPr>
      <w:rPr>
        <w:rFonts w:ascii="Wingdings" w:hAnsi="Wingdings" w:hint="default"/>
      </w:rPr>
    </w:lvl>
    <w:lvl w:ilvl="3" w:tplc="D654D1E6">
      <w:start w:val="1"/>
      <w:numFmt w:val="bullet"/>
      <w:lvlText w:val=""/>
      <w:lvlJc w:val="left"/>
      <w:pPr>
        <w:ind w:left="2880" w:hanging="360"/>
      </w:pPr>
      <w:rPr>
        <w:rFonts w:ascii="Symbol" w:hAnsi="Symbol" w:hint="default"/>
      </w:rPr>
    </w:lvl>
    <w:lvl w:ilvl="4" w:tplc="200CDC7C">
      <w:start w:val="1"/>
      <w:numFmt w:val="bullet"/>
      <w:lvlText w:val="o"/>
      <w:lvlJc w:val="left"/>
      <w:pPr>
        <w:ind w:left="3600" w:hanging="360"/>
      </w:pPr>
      <w:rPr>
        <w:rFonts w:ascii="Courier New" w:hAnsi="Courier New" w:hint="default"/>
      </w:rPr>
    </w:lvl>
    <w:lvl w:ilvl="5" w:tplc="36C451FA">
      <w:start w:val="1"/>
      <w:numFmt w:val="bullet"/>
      <w:lvlText w:val=""/>
      <w:lvlJc w:val="left"/>
      <w:pPr>
        <w:ind w:left="4320" w:hanging="360"/>
      </w:pPr>
      <w:rPr>
        <w:rFonts w:ascii="Wingdings" w:hAnsi="Wingdings" w:hint="default"/>
      </w:rPr>
    </w:lvl>
    <w:lvl w:ilvl="6" w:tplc="43520A98">
      <w:start w:val="1"/>
      <w:numFmt w:val="bullet"/>
      <w:lvlText w:val=""/>
      <w:lvlJc w:val="left"/>
      <w:pPr>
        <w:ind w:left="5040" w:hanging="360"/>
      </w:pPr>
      <w:rPr>
        <w:rFonts w:ascii="Symbol" w:hAnsi="Symbol" w:hint="default"/>
      </w:rPr>
    </w:lvl>
    <w:lvl w:ilvl="7" w:tplc="B4746F58">
      <w:start w:val="1"/>
      <w:numFmt w:val="bullet"/>
      <w:lvlText w:val="o"/>
      <w:lvlJc w:val="left"/>
      <w:pPr>
        <w:ind w:left="5760" w:hanging="360"/>
      </w:pPr>
      <w:rPr>
        <w:rFonts w:ascii="Courier New" w:hAnsi="Courier New" w:hint="default"/>
      </w:rPr>
    </w:lvl>
    <w:lvl w:ilvl="8" w:tplc="F8D4A03C">
      <w:start w:val="1"/>
      <w:numFmt w:val="bullet"/>
      <w:lvlText w:val=""/>
      <w:lvlJc w:val="left"/>
      <w:pPr>
        <w:ind w:left="6480" w:hanging="360"/>
      </w:pPr>
      <w:rPr>
        <w:rFonts w:ascii="Wingdings" w:hAnsi="Wingdings" w:hint="default"/>
      </w:rPr>
    </w:lvl>
  </w:abstractNum>
  <w:abstractNum w:abstractNumId="11" w15:restartNumberingAfterBreak="0">
    <w:nsid w:val="6B944EE3"/>
    <w:multiLevelType w:val="hybridMultilevel"/>
    <w:tmpl w:val="64F8DB50"/>
    <w:lvl w:ilvl="0" w:tplc="40961D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C9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892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7C8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2EC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7C94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8AC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4C3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4D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2E5AB6"/>
    <w:multiLevelType w:val="hybridMultilevel"/>
    <w:tmpl w:val="786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6D3D8C"/>
    <w:multiLevelType w:val="hybridMultilevel"/>
    <w:tmpl w:val="92C6361A"/>
    <w:lvl w:ilvl="0" w:tplc="799CC33E">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636570">
    <w:abstractNumId w:val="6"/>
  </w:num>
  <w:num w:numId="2" w16cid:durableId="737169635">
    <w:abstractNumId w:val="13"/>
  </w:num>
  <w:num w:numId="3" w16cid:durableId="2013027928">
    <w:abstractNumId w:val="8"/>
  </w:num>
  <w:num w:numId="4" w16cid:durableId="623851350">
    <w:abstractNumId w:val="11"/>
  </w:num>
  <w:num w:numId="5" w16cid:durableId="701830431">
    <w:abstractNumId w:val="5"/>
  </w:num>
  <w:num w:numId="6" w16cid:durableId="564030119">
    <w:abstractNumId w:val="0"/>
  </w:num>
  <w:num w:numId="7" w16cid:durableId="61681657">
    <w:abstractNumId w:val="3"/>
  </w:num>
  <w:num w:numId="8" w16cid:durableId="1093546682">
    <w:abstractNumId w:val="10"/>
  </w:num>
  <w:num w:numId="9" w16cid:durableId="2085562251">
    <w:abstractNumId w:val="4"/>
  </w:num>
  <w:num w:numId="10" w16cid:durableId="438644382">
    <w:abstractNumId w:val="14"/>
  </w:num>
  <w:num w:numId="11" w16cid:durableId="1969432258">
    <w:abstractNumId w:val="12"/>
  </w:num>
  <w:num w:numId="12" w16cid:durableId="857815418">
    <w:abstractNumId w:val="9"/>
  </w:num>
  <w:num w:numId="13" w16cid:durableId="2070838794">
    <w:abstractNumId w:val="7"/>
  </w:num>
  <w:num w:numId="14" w16cid:durableId="493375345">
    <w:abstractNumId w:val="1"/>
  </w:num>
  <w:num w:numId="15" w16cid:durableId="85912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7D"/>
    <w:rsid w:val="000F09C5"/>
    <w:rsid w:val="00162FA4"/>
    <w:rsid w:val="0016436D"/>
    <w:rsid w:val="001B6E31"/>
    <w:rsid w:val="00364EF9"/>
    <w:rsid w:val="003E40F7"/>
    <w:rsid w:val="00477D67"/>
    <w:rsid w:val="005C62B7"/>
    <w:rsid w:val="005E4AAA"/>
    <w:rsid w:val="00675C23"/>
    <w:rsid w:val="006A5C9D"/>
    <w:rsid w:val="006F2093"/>
    <w:rsid w:val="00702666"/>
    <w:rsid w:val="00793962"/>
    <w:rsid w:val="007A6342"/>
    <w:rsid w:val="009D0EED"/>
    <w:rsid w:val="00AA197D"/>
    <w:rsid w:val="00B1148C"/>
    <w:rsid w:val="00B37EEA"/>
    <w:rsid w:val="00B43FE5"/>
    <w:rsid w:val="00B90E1F"/>
    <w:rsid w:val="00BC116B"/>
    <w:rsid w:val="00C8538E"/>
    <w:rsid w:val="00D57379"/>
    <w:rsid w:val="00E530DD"/>
    <w:rsid w:val="00EB4AAF"/>
    <w:rsid w:val="00FB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D29B"/>
  <w15:chartTrackingRefBased/>
  <w15:docId w15:val="{F386F0CC-2A9E-45AB-BB21-8039E0D3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7D"/>
    <w:pPr>
      <w:spacing w:after="0" w:line="240" w:lineRule="auto"/>
    </w:pPr>
    <w:rPr>
      <w:rFonts w:ascii="Arial" w:eastAsia="Times New Roman" w:hAnsi="Arial" w:cs="Times New Roman"/>
      <w:lang w:val="en-US"/>
    </w:rPr>
  </w:style>
  <w:style w:type="paragraph" w:styleId="Heading1">
    <w:name w:val="heading 1"/>
    <w:next w:val="Normal"/>
    <w:link w:val="Heading1Char"/>
    <w:uiPriority w:val="9"/>
    <w:qFormat/>
    <w:rsid w:val="009D0EED"/>
    <w:pPr>
      <w:keepNext/>
      <w:keepLines/>
      <w:spacing w:after="249"/>
      <w:ind w:left="10" w:hanging="10"/>
      <w:outlineLvl w:val="0"/>
    </w:pPr>
    <w:rPr>
      <w:rFonts w:ascii="Century Gothic" w:eastAsia="Century Gothic" w:hAnsi="Century Gothic" w:cs="Century Gothic"/>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7D"/>
    <w:rPr>
      <w:color w:val="0000FF"/>
      <w:u w:val="single"/>
    </w:rPr>
  </w:style>
  <w:style w:type="paragraph" w:styleId="ListParagraph">
    <w:name w:val="List Paragraph"/>
    <w:basedOn w:val="Normal"/>
    <w:uiPriority w:val="34"/>
    <w:qFormat/>
    <w:rsid w:val="00AA197D"/>
    <w:pPr>
      <w:spacing w:after="200" w:line="276" w:lineRule="auto"/>
      <w:ind w:left="720"/>
      <w:contextualSpacing/>
    </w:pPr>
    <w:rPr>
      <w:rFonts w:asciiTheme="minorHAnsi" w:eastAsiaTheme="minorHAnsi" w:hAnsiTheme="minorHAnsi" w:cstheme="minorBidi"/>
      <w:lang w:val="en-GB"/>
    </w:rPr>
  </w:style>
  <w:style w:type="paragraph" w:customStyle="1" w:styleId="paragraph">
    <w:name w:val="paragraph"/>
    <w:basedOn w:val="Normal"/>
    <w:uiPriority w:val="99"/>
    <w:rsid w:val="00AA197D"/>
    <w:pPr>
      <w:spacing w:before="100" w:beforeAutospacing="1" w:after="100" w:afterAutospacing="1"/>
    </w:pPr>
    <w:rPr>
      <w:rFonts w:ascii="Times New Roman" w:eastAsiaTheme="minorHAnsi" w:hAnsi="Times New Roman"/>
      <w:sz w:val="24"/>
      <w:szCs w:val="24"/>
      <w:lang w:val="en-GB" w:eastAsia="en-GB"/>
    </w:rPr>
  </w:style>
  <w:style w:type="character" w:customStyle="1" w:styleId="eop">
    <w:name w:val="eop"/>
    <w:basedOn w:val="DefaultParagraphFont"/>
    <w:rsid w:val="00AA197D"/>
  </w:style>
  <w:style w:type="table" w:styleId="TableGrid">
    <w:name w:val="Table Grid"/>
    <w:basedOn w:val="TableNormal"/>
    <w:uiPriority w:val="59"/>
    <w:rsid w:val="00AA19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D57379"/>
    <w:pPr>
      <w:spacing w:before="100" w:beforeAutospacing="1" w:after="100" w:afterAutospacing="1"/>
    </w:pPr>
    <w:rPr>
      <w:rFonts w:ascii="Times New Roman" w:hAnsi="Times New Roman"/>
      <w:sz w:val="24"/>
      <w:szCs w:val="24"/>
      <w:lang w:val="en-GB" w:eastAsia="en-GB"/>
    </w:rPr>
  </w:style>
  <w:style w:type="character" w:customStyle="1" w:styleId="vkif2">
    <w:name w:val="vkif2"/>
    <w:basedOn w:val="DefaultParagraphFont"/>
    <w:rsid w:val="00D57379"/>
  </w:style>
  <w:style w:type="character" w:customStyle="1" w:styleId="Heading1Char">
    <w:name w:val="Heading 1 Char"/>
    <w:basedOn w:val="DefaultParagraphFont"/>
    <w:link w:val="Heading1"/>
    <w:uiPriority w:val="9"/>
    <w:rsid w:val="009D0EED"/>
    <w:rPr>
      <w:rFonts w:ascii="Century Gothic" w:eastAsia="Century Gothic" w:hAnsi="Century Gothic" w:cs="Century Gothic"/>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680">
      <w:bodyDiv w:val="1"/>
      <w:marLeft w:val="0"/>
      <w:marRight w:val="0"/>
      <w:marTop w:val="0"/>
      <w:marBottom w:val="0"/>
      <w:divBdr>
        <w:top w:val="none" w:sz="0" w:space="0" w:color="auto"/>
        <w:left w:val="none" w:sz="0" w:space="0" w:color="auto"/>
        <w:bottom w:val="none" w:sz="0" w:space="0" w:color="auto"/>
        <w:right w:val="none" w:sz="0" w:space="0" w:color="auto"/>
      </w:divBdr>
    </w:div>
    <w:div w:id="375129470">
      <w:bodyDiv w:val="1"/>
      <w:marLeft w:val="0"/>
      <w:marRight w:val="0"/>
      <w:marTop w:val="0"/>
      <w:marBottom w:val="0"/>
      <w:divBdr>
        <w:top w:val="none" w:sz="0" w:space="0" w:color="auto"/>
        <w:left w:val="none" w:sz="0" w:space="0" w:color="auto"/>
        <w:bottom w:val="none" w:sz="0" w:space="0" w:color="auto"/>
        <w:right w:val="none" w:sz="0" w:space="0" w:color="auto"/>
      </w:divBdr>
    </w:div>
    <w:div w:id="6661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hiteroseacadem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roseacademies.org/careers" TargetMode="External"/><Relationship Id="rId5" Type="http://schemas.openxmlformats.org/officeDocument/2006/relationships/hyperlink" Target="https://www.whiteroseacademies.org/post/business-administration-appren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Rajinder Soor</cp:lastModifiedBy>
  <cp:revision>3</cp:revision>
  <dcterms:created xsi:type="dcterms:W3CDTF">2022-04-21T10:22:00Z</dcterms:created>
  <dcterms:modified xsi:type="dcterms:W3CDTF">2022-04-21T10:23:00Z</dcterms:modified>
</cp:coreProperties>
</file>