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1764F343" w:rsidR="00C305E5" w:rsidRDefault="006C57EF" w:rsidP="00C305E5">
      <w:pPr>
        <w:spacing w:before="20" w:after="20"/>
        <w:jc w:val="center"/>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5C49764C"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4E5599">
        <w:rPr>
          <w:b/>
          <w:sz w:val="24"/>
        </w:rPr>
        <w:t>Lead of Internal Alternative Provision</w:t>
      </w:r>
    </w:p>
    <w:p w14:paraId="1F7E8006" w14:textId="77777777" w:rsidR="00681515" w:rsidRPr="00ED78EE" w:rsidRDefault="00681515" w:rsidP="004634E7">
      <w:pPr>
        <w:spacing w:before="20" w:after="20"/>
        <w:rPr>
          <w:b/>
          <w:sz w:val="24"/>
        </w:rPr>
      </w:pPr>
    </w:p>
    <w:p w14:paraId="53021D8D" w14:textId="57A02A4C" w:rsidR="00681515" w:rsidRPr="00ED78EE" w:rsidRDefault="00681515" w:rsidP="70650A19">
      <w:pPr>
        <w:spacing w:before="20" w:after="20"/>
        <w:rPr>
          <w:b/>
          <w:bCs/>
          <w:sz w:val="24"/>
        </w:rPr>
      </w:pPr>
      <w:r w:rsidRPr="70650A19">
        <w:rPr>
          <w:b/>
          <w:bCs/>
          <w:sz w:val="24"/>
        </w:rPr>
        <w:t xml:space="preserve">Salary: </w:t>
      </w:r>
      <w:r>
        <w:tab/>
      </w:r>
      <w:r>
        <w:tab/>
      </w:r>
      <w:r w:rsidR="004E5599">
        <w:rPr>
          <w:b/>
          <w:bCs/>
          <w:sz w:val="24"/>
        </w:rPr>
        <w:t>MPR/UPR, plus TLR 2b</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4C43EEF6"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w:t>
      </w:r>
      <w:r w:rsidR="006B547A">
        <w:rPr>
          <w:iCs/>
          <w:color w:val="000000"/>
          <w:kern w:val="28"/>
          <w:sz w:val="24"/>
          <w:lang w:eastAsia="en-GB"/>
          <w14:cntxtAlts/>
        </w:rPr>
        <w:t xml:space="preserve">within an internal alternative provision unit, </w:t>
      </w:r>
      <w:r>
        <w:rPr>
          <w:iCs/>
          <w:color w:val="000000"/>
          <w:kern w:val="28"/>
          <w:sz w:val="24"/>
          <w:lang w:eastAsia="en-GB"/>
          <w14:cntxtAlts/>
        </w:rPr>
        <w:t>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5C1C5CB5" w14:textId="2401CDBE" w:rsidR="00A16830" w:rsidRDefault="00A16830" w:rsidP="004634E7">
      <w:pPr>
        <w:spacing w:before="20" w:after="20"/>
        <w:rPr>
          <w:b/>
          <w:sz w:val="24"/>
        </w:rPr>
      </w:pPr>
    </w:p>
    <w:p w14:paraId="0C69F57B" w14:textId="41DCEF61" w:rsidR="00781E2E" w:rsidRDefault="00781E2E" w:rsidP="00781E2E">
      <w:pPr>
        <w:textAlignment w:val="baseline"/>
        <w:rPr>
          <w:color w:val="000000"/>
          <w:sz w:val="24"/>
        </w:rPr>
      </w:pPr>
      <w:r>
        <w:rPr>
          <w:color w:val="000000"/>
          <w:sz w:val="24"/>
        </w:rPr>
        <w:t>Lead the development and delivery of a high-quality, bespoke Internal Alternative Provision (IAP) that meets the needs of our most vulnerable students, both onsite and offsite</w:t>
      </w:r>
    </w:p>
    <w:p w14:paraId="3141A9AC" w14:textId="3F16F331" w:rsidR="00A16830" w:rsidRDefault="00A16830" w:rsidP="004634E7">
      <w:pPr>
        <w:spacing w:before="20" w:after="20"/>
        <w:rPr>
          <w:sz w:val="24"/>
        </w:rPr>
      </w:pPr>
    </w:p>
    <w:p w14:paraId="6E7C721E" w14:textId="406ECF48" w:rsidR="00A16830" w:rsidRDefault="00A16830" w:rsidP="004634E7">
      <w:pPr>
        <w:spacing w:before="20" w:after="20"/>
        <w:rPr>
          <w:sz w:val="24"/>
        </w:rPr>
      </w:pPr>
      <w:r>
        <w:rPr>
          <w:sz w:val="24"/>
        </w:rPr>
        <w:t>Ensure high standards of teaching and learning and progress for all students.</w:t>
      </w:r>
    </w:p>
    <w:p w14:paraId="7612D6C4" w14:textId="4BC626B2" w:rsidR="00781E2E" w:rsidRDefault="00781E2E" w:rsidP="004634E7">
      <w:pPr>
        <w:spacing w:before="20" w:after="20"/>
        <w:rPr>
          <w:sz w:val="24"/>
        </w:rPr>
      </w:pPr>
    </w:p>
    <w:p w14:paraId="0D1BCAA4" w14:textId="6A3C81D5" w:rsidR="00781E2E" w:rsidRDefault="00781E2E" w:rsidP="00781E2E">
      <w:pPr>
        <w:textAlignment w:val="baseline"/>
        <w:rPr>
          <w:color w:val="000000"/>
          <w:sz w:val="24"/>
        </w:rPr>
      </w:pPr>
      <w:r>
        <w:rPr>
          <w:color w:val="000000"/>
          <w:sz w:val="24"/>
        </w:rPr>
        <w:t>Work collaboratively with pastoral, curriculum and SENCO colleagues to identify and support students who require IAP provision, and ensuring that this provision is integrated into their wider education and support plans</w:t>
      </w:r>
    </w:p>
    <w:p w14:paraId="0BC7607F" w14:textId="3BFA51AA" w:rsidR="00781E2E" w:rsidRDefault="00781E2E" w:rsidP="004634E7">
      <w:pPr>
        <w:spacing w:before="20" w:after="20"/>
        <w:rPr>
          <w:sz w:val="24"/>
        </w:rPr>
      </w:pPr>
    </w:p>
    <w:p w14:paraId="5E694B2E" w14:textId="77777777" w:rsidR="00924672" w:rsidRDefault="00483704" w:rsidP="00924672">
      <w:pPr>
        <w:textAlignment w:val="baseline"/>
        <w:rPr>
          <w:color w:val="000000"/>
          <w:sz w:val="24"/>
        </w:rPr>
      </w:pPr>
      <w:r>
        <w:rPr>
          <w:color w:val="000000"/>
          <w:sz w:val="24"/>
        </w:rPr>
        <w:t>Create and deliver personalised, therapeutic and engaging educational programmes that meet the specific needs of each individual student, and support them to achieve their full potential</w:t>
      </w:r>
    </w:p>
    <w:p w14:paraId="36A8C10D" w14:textId="77777777" w:rsidR="00924672" w:rsidRDefault="00924672" w:rsidP="00924672">
      <w:pPr>
        <w:textAlignment w:val="baseline"/>
        <w:rPr>
          <w:color w:val="000000"/>
          <w:sz w:val="24"/>
        </w:rPr>
      </w:pPr>
    </w:p>
    <w:p w14:paraId="2A556E9D" w14:textId="77777777" w:rsidR="00924672" w:rsidRDefault="00483704" w:rsidP="00924672">
      <w:pPr>
        <w:textAlignment w:val="baseline"/>
        <w:rPr>
          <w:color w:val="000000"/>
          <w:sz w:val="24"/>
        </w:rPr>
      </w:pPr>
      <w:r>
        <w:rPr>
          <w:color w:val="000000"/>
          <w:sz w:val="24"/>
        </w:rPr>
        <w:t>Ensur</w:t>
      </w:r>
      <w:r w:rsidR="00924672">
        <w:rPr>
          <w:color w:val="000000"/>
          <w:sz w:val="24"/>
        </w:rPr>
        <w:t>e</w:t>
      </w:r>
      <w:r>
        <w:rPr>
          <w:color w:val="000000"/>
          <w:sz w:val="24"/>
        </w:rPr>
        <w:t xml:space="preserve"> that all IAP provision is high-quality, engaging, and effectively supports students to improve their behaviour, attendance, and academic progress</w:t>
      </w:r>
    </w:p>
    <w:p w14:paraId="3B905359" w14:textId="77777777" w:rsidR="00924672" w:rsidRDefault="00924672" w:rsidP="00924672">
      <w:pPr>
        <w:textAlignment w:val="baseline"/>
        <w:rPr>
          <w:color w:val="000000"/>
          <w:sz w:val="24"/>
        </w:rPr>
      </w:pPr>
    </w:p>
    <w:p w14:paraId="19A04868" w14:textId="77777777" w:rsidR="00924672" w:rsidRDefault="00483704" w:rsidP="00924672">
      <w:pPr>
        <w:textAlignment w:val="baseline"/>
        <w:rPr>
          <w:color w:val="000000"/>
          <w:sz w:val="24"/>
        </w:rPr>
      </w:pPr>
      <w:r>
        <w:rPr>
          <w:color w:val="000000"/>
          <w:sz w:val="24"/>
        </w:rPr>
        <w:t>Monitor and evaluat</w:t>
      </w:r>
      <w:r w:rsidR="00924672">
        <w:rPr>
          <w:color w:val="000000"/>
          <w:sz w:val="24"/>
        </w:rPr>
        <w:t>e</w:t>
      </w:r>
      <w:r>
        <w:rPr>
          <w:color w:val="000000"/>
          <w:sz w:val="24"/>
        </w:rPr>
        <w:t xml:space="preserve"> the impact of IAP provision, and using data to continuously improve the quality and effectiveness of provision</w:t>
      </w:r>
    </w:p>
    <w:p w14:paraId="571655E7" w14:textId="77777777" w:rsidR="00924672" w:rsidRDefault="00924672" w:rsidP="00924672">
      <w:pPr>
        <w:textAlignment w:val="baseline"/>
        <w:rPr>
          <w:color w:val="000000"/>
          <w:sz w:val="24"/>
        </w:rPr>
      </w:pPr>
    </w:p>
    <w:p w14:paraId="660371AD" w14:textId="5CD503C3" w:rsidR="00924672" w:rsidRDefault="00483704" w:rsidP="00924672">
      <w:pPr>
        <w:textAlignment w:val="baseline"/>
        <w:rPr>
          <w:color w:val="000000"/>
          <w:sz w:val="24"/>
        </w:rPr>
      </w:pPr>
      <w:r>
        <w:rPr>
          <w:color w:val="000000"/>
          <w:sz w:val="24"/>
        </w:rPr>
        <w:t>Build upon an already established and strong provision, and driv</w:t>
      </w:r>
      <w:r w:rsidR="00BC3A8F">
        <w:rPr>
          <w:color w:val="000000"/>
          <w:sz w:val="24"/>
        </w:rPr>
        <w:t>e</w:t>
      </w:r>
      <w:r>
        <w:rPr>
          <w:color w:val="000000"/>
          <w:sz w:val="24"/>
        </w:rPr>
        <w:t xml:space="preserve"> forward further improvements to ensure the very best outcomes for our students</w:t>
      </w:r>
    </w:p>
    <w:p w14:paraId="2EC435F4" w14:textId="77777777" w:rsidR="00924672" w:rsidRDefault="00924672" w:rsidP="00924672">
      <w:pPr>
        <w:textAlignment w:val="baseline"/>
        <w:rPr>
          <w:color w:val="000000"/>
          <w:sz w:val="24"/>
        </w:rPr>
      </w:pPr>
    </w:p>
    <w:p w14:paraId="0B2A448A" w14:textId="1B38353F" w:rsidR="00483704" w:rsidRDefault="00483704" w:rsidP="00924672">
      <w:pPr>
        <w:textAlignment w:val="baseline"/>
        <w:rPr>
          <w:color w:val="000000"/>
          <w:sz w:val="24"/>
        </w:rPr>
      </w:pPr>
      <w:r>
        <w:rPr>
          <w:color w:val="000000"/>
          <w:sz w:val="24"/>
        </w:rPr>
        <w:t>Contribut</w:t>
      </w:r>
      <w:r w:rsidR="00924672">
        <w:rPr>
          <w:color w:val="000000"/>
          <w:sz w:val="24"/>
        </w:rPr>
        <w:t>e</w:t>
      </w:r>
      <w:r>
        <w:rPr>
          <w:color w:val="000000"/>
          <w:sz w:val="24"/>
        </w:rPr>
        <w:t xml:space="preserve"> to the wider school leadership team, and work collaboratively with colleagues to ensure that IAP provision is integrated into the wider school curriculum and ethos</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03E55445" w14:textId="77777777" w:rsidR="009F077F" w:rsidRDefault="009F077F" w:rsidP="004634E7">
      <w:pPr>
        <w:spacing w:before="20" w:after="20"/>
        <w:rPr>
          <w:sz w:val="24"/>
        </w:rPr>
      </w:pPr>
    </w:p>
    <w:p w14:paraId="4ED09CC3" w14:textId="25780956" w:rsidR="009F077F" w:rsidRDefault="009F077F" w:rsidP="009F077F">
      <w:pPr>
        <w:spacing w:before="60" w:after="60"/>
        <w:contextualSpacing/>
        <w:rPr>
          <w:sz w:val="24"/>
        </w:rPr>
      </w:pPr>
      <w:r w:rsidRPr="009F077F">
        <w:rPr>
          <w:sz w:val="24"/>
        </w:rPr>
        <w:t>Ensur</w:t>
      </w:r>
      <w:r w:rsidR="009230CD">
        <w:rPr>
          <w:sz w:val="24"/>
        </w:rPr>
        <w:t>e</w:t>
      </w:r>
      <w:r w:rsidRPr="009F077F">
        <w:rPr>
          <w:sz w:val="24"/>
        </w:rPr>
        <w:t xml:space="preserve"> that all students in classes taught, including identified vulnerable groups, have equal access to the </w:t>
      </w:r>
      <w:r w:rsidR="00E7715C">
        <w:rPr>
          <w:sz w:val="24"/>
        </w:rPr>
        <w:t xml:space="preserve">appropriate </w:t>
      </w:r>
      <w:r w:rsidRPr="009F077F">
        <w:rPr>
          <w:sz w:val="24"/>
        </w:rPr>
        <w:t>curriculum</w:t>
      </w:r>
    </w:p>
    <w:p w14:paraId="291649E0" w14:textId="571CDF5B" w:rsidR="009F077F" w:rsidRDefault="009F077F" w:rsidP="009F077F">
      <w:pPr>
        <w:spacing w:before="60" w:after="60"/>
        <w:contextualSpacing/>
        <w:rPr>
          <w:sz w:val="24"/>
        </w:rPr>
      </w:pPr>
    </w:p>
    <w:p w14:paraId="0277FBB7" w14:textId="43109749"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0EF28D79" w14:textId="77777777" w:rsidR="009230CD" w:rsidRPr="00835BD1" w:rsidRDefault="009230CD" w:rsidP="00835BD1">
      <w:pPr>
        <w:spacing w:after="160" w:line="259" w:lineRule="auto"/>
        <w:contextualSpacing/>
        <w:rPr>
          <w:rFonts w:eastAsia="Calibri"/>
          <w:sz w:val="24"/>
        </w:rPr>
      </w:pPr>
    </w:p>
    <w:p w14:paraId="23F53FCF" w14:textId="4E755ACD"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p>
    <w:p w14:paraId="07295B9E" w14:textId="58AC7A83" w:rsidR="000528E7" w:rsidRDefault="000528E7" w:rsidP="000528E7">
      <w:pPr>
        <w:spacing w:before="60" w:after="60"/>
        <w:rPr>
          <w:sz w:val="24"/>
        </w:rPr>
      </w:pPr>
    </w:p>
    <w:p w14:paraId="46FF8039" w14:textId="1EA73137" w:rsidR="000528E7" w:rsidRDefault="000528E7" w:rsidP="000528E7">
      <w:pPr>
        <w:spacing w:before="60" w:after="60"/>
        <w:rPr>
          <w:sz w:val="24"/>
        </w:rPr>
      </w:pPr>
      <w:r w:rsidRPr="000528E7">
        <w:rPr>
          <w:sz w:val="24"/>
        </w:rPr>
        <w:t>Act as a role model for staff and students, displaying positive behaviours at all times</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be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all inclusive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08FBCFCB"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lastRenderedPageBreak/>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975E" w14:textId="77777777" w:rsidR="00EB6267" w:rsidRDefault="00EB6267" w:rsidP="00CF3E26">
      <w:r>
        <w:separator/>
      </w:r>
    </w:p>
  </w:endnote>
  <w:endnote w:type="continuationSeparator" w:id="0">
    <w:p w14:paraId="3DE02D4A" w14:textId="77777777" w:rsidR="00EB6267" w:rsidRDefault="00EB6267"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A137" w14:textId="77777777" w:rsidR="00EB6267" w:rsidRDefault="00EB6267" w:rsidP="00CF3E26">
      <w:r>
        <w:separator/>
      </w:r>
    </w:p>
  </w:footnote>
  <w:footnote w:type="continuationSeparator" w:id="0">
    <w:p w14:paraId="2902E16B" w14:textId="77777777" w:rsidR="00EB6267" w:rsidRDefault="00EB6267"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887385"/>
    <w:multiLevelType w:val="multilevel"/>
    <w:tmpl w:val="F80EB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3540666">
    <w:abstractNumId w:val="16"/>
  </w:num>
  <w:num w:numId="2" w16cid:durableId="1012340673">
    <w:abstractNumId w:val="8"/>
  </w:num>
  <w:num w:numId="3" w16cid:durableId="1952930337">
    <w:abstractNumId w:val="12"/>
  </w:num>
  <w:num w:numId="4" w16cid:durableId="335042361">
    <w:abstractNumId w:val="20"/>
  </w:num>
  <w:num w:numId="5" w16cid:durableId="745734825">
    <w:abstractNumId w:val="1"/>
  </w:num>
  <w:num w:numId="6" w16cid:durableId="855389447">
    <w:abstractNumId w:val="4"/>
  </w:num>
  <w:num w:numId="7" w16cid:durableId="900141291">
    <w:abstractNumId w:val="9"/>
  </w:num>
  <w:num w:numId="8" w16cid:durableId="896016745">
    <w:abstractNumId w:val="13"/>
  </w:num>
  <w:num w:numId="9" w16cid:durableId="418868170">
    <w:abstractNumId w:val="17"/>
  </w:num>
  <w:num w:numId="10" w16cid:durableId="2143570594">
    <w:abstractNumId w:val="21"/>
  </w:num>
  <w:num w:numId="11" w16cid:durableId="1436362202">
    <w:abstractNumId w:val="5"/>
  </w:num>
  <w:num w:numId="12" w16cid:durableId="666713910">
    <w:abstractNumId w:val="15"/>
  </w:num>
  <w:num w:numId="13" w16cid:durableId="648365417">
    <w:abstractNumId w:val="11"/>
  </w:num>
  <w:num w:numId="14" w16cid:durableId="1496608910">
    <w:abstractNumId w:val="6"/>
  </w:num>
  <w:num w:numId="15" w16cid:durableId="670257806">
    <w:abstractNumId w:val="10"/>
  </w:num>
  <w:num w:numId="16" w16cid:durableId="1221668366">
    <w:abstractNumId w:val="19"/>
  </w:num>
  <w:num w:numId="17" w16cid:durableId="2070882315">
    <w:abstractNumId w:val="14"/>
  </w:num>
  <w:num w:numId="18" w16cid:durableId="1295790560">
    <w:abstractNumId w:val="2"/>
  </w:num>
  <w:num w:numId="19" w16cid:durableId="1790390580">
    <w:abstractNumId w:val="0"/>
  </w:num>
  <w:num w:numId="20" w16cid:durableId="1755083750">
    <w:abstractNumId w:val="18"/>
  </w:num>
  <w:num w:numId="21" w16cid:durableId="27876009">
    <w:abstractNumId w:val="3"/>
  </w:num>
  <w:num w:numId="22" w16cid:durableId="5224777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4148"/>
    <w:rsid w:val="00044C7E"/>
    <w:rsid w:val="000475E3"/>
    <w:rsid w:val="000528E7"/>
    <w:rsid w:val="0006243D"/>
    <w:rsid w:val="00081A51"/>
    <w:rsid w:val="000844DD"/>
    <w:rsid w:val="000845E3"/>
    <w:rsid w:val="00085388"/>
    <w:rsid w:val="00086DB6"/>
    <w:rsid w:val="000A6437"/>
    <w:rsid w:val="000C1E88"/>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120C"/>
    <w:rsid w:val="001E2F7E"/>
    <w:rsid w:val="001F0C03"/>
    <w:rsid w:val="001F4CE0"/>
    <w:rsid w:val="001F782B"/>
    <w:rsid w:val="002106F8"/>
    <w:rsid w:val="00211B6A"/>
    <w:rsid w:val="00213F84"/>
    <w:rsid w:val="002140B5"/>
    <w:rsid w:val="00230B06"/>
    <w:rsid w:val="00237DCA"/>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D4A92"/>
    <w:rsid w:val="003F5B29"/>
    <w:rsid w:val="00416222"/>
    <w:rsid w:val="004251A3"/>
    <w:rsid w:val="004256E7"/>
    <w:rsid w:val="004472E1"/>
    <w:rsid w:val="00462612"/>
    <w:rsid w:val="004634E7"/>
    <w:rsid w:val="00477A39"/>
    <w:rsid w:val="00483704"/>
    <w:rsid w:val="00493E07"/>
    <w:rsid w:val="004940D5"/>
    <w:rsid w:val="004A52E7"/>
    <w:rsid w:val="004B0591"/>
    <w:rsid w:val="004B628F"/>
    <w:rsid w:val="004C36FA"/>
    <w:rsid w:val="004D1636"/>
    <w:rsid w:val="004E5599"/>
    <w:rsid w:val="00516DFA"/>
    <w:rsid w:val="0053664C"/>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32A98"/>
    <w:rsid w:val="006405E1"/>
    <w:rsid w:val="00644360"/>
    <w:rsid w:val="00681515"/>
    <w:rsid w:val="00684F8B"/>
    <w:rsid w:val="00687801"/>
    <w:rsid w:val="006B547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1E2E"/>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1AB7"/>
    <w:rsid w:val="0083279B"/>
    <w:rsid w:val="00835B12"/>
    <w:rsid w:val="00835BD1"/>
    <w:rsid w:val="00846298"/>
    <w:rsid w:val="00874CD8"/>
    <w:rsid w:val="00876297"/>
    <w:rsid w:val="008865C0"/>
    <w:rsid w:val="008A5119"/>
    <w:rsid w:val="008B4E4C"/>
    <w:rsid w:val="008C58BC"/>
    <w:rsid w:val="008D7BD7"/>
    <w:rsid w:val="008F63CD"/>
    <w:rsid w:val="009016BA"/>
    <w:rsid w:val="00905395"/>
    <w:rsid w:val="0090774E"/>
    <w:rsid w:val="00907825"/>
    <w:rsid w:val="00907DF7"/>
    <w:rsid w:val="009230CD"/>
    <w:rsid w:val="00924434"/>
    <w:rsid w:val="00924672"/>
    <w:rsid w:val="009248A7"/>
    <w:rsid w:val="00924E79"/>
    <w:rsid w:val="009270E6"/>
    <w:rsid w:val="00957FF1"/>
    <w:rsid w:val="00975130"/>
    <w:rsid w:val="009855C3"/>
    <w:rsid w:val="00996660"/>
    <w:rsid w:val="009C337A"/>
    <w:rsid w:val="009C507F"/>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E506A"/>
    <w:rsid w:val="00AE7E05"/>
    <w:rsid w:val="00B1553D"/>
    <w:rsid w:val="00B23BE9"/>
    <w:rsid w:val="00B3228E"/>
    <w:rsid w:val="00B521C2"/>
    <w:rsid w:val="00B52884"/>
    <w:rsid w:val="00B61A94"/>
    <w:rsid w:val="00B8079D"/>
    <w:rsid w:val="00B87285"/>
    <w:rsid w:val="00B91FF1"/>
    <w:rsid w:val="00BB61DC"/>
    <w:rsid w:val="00BC3A8F"/>
    <w:rsid w:val="00BD09BF"/>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C6D74"/>
    <w:rsid w:val="00CF3E26"/>
    <w:rsid w:val="00CF4EE5"/>
    <w:rsid w:val="00D12F00"/>
    <w:rsid w:val="00D136DC"/>
    <w:rsid w:val="00D14E78"/>
    <w:rsid w:val="00D214B4"/>
    <w:rsid w:val="00D25595"/>
    <w:rsid w:val="00D26DB2"/>
    <w:rsid w:val="00D33C29"/>
    <w:rsid w:val="00D41C62"/>
    <w:rsid w:val="00D42559"/>
    <w:rsid w:val="00D473EB"/>
    <w:rsid w:val="00D607A7"/>
    <w:rsid w:val="00D66A3F"/>
    <w:rsid w:val="00D719F1"/>
    <w:rsid w:val="00DA0A6A"/>
    <w:rsid w:val="00DA4D66"/>
    <w:rsid w:val="00DC3D1B"/>
    <w:rsid w:val="00DD1394"/>
    <w:rsid w:val="00DD4DE3"/>
    <w:rsid w:val="00DE656B"/>
    <w:rsid w:val="00DF10E6"/>
    <w:rsid w:val="00E02F24"/>
    <w:rsid w:val="00E110DA"/>
    <w:rsid w:val="00E24DE0"/>
    <w:rsid w:val="00E26863"/>
    <w:rsid w:val="00E33F79"/>
    <w:rsid w:val="00E678BA"/>
    <w:rsid w:val="00E7715C"/>
    <w:rsid w:val="00E83119"/>
    <w:rsid w:val="00E850D6"/>
    <w:rsid w:val="00EA0EBD"/>
    <w:rsid w:val="00EA1E6D"/>
    <w:rsid w:val="00EA7574"/>
    <w:rsid w:val="00EB3960"/>
    <w:rsid w:val="00EB6267"/>
    <w:rsid w:val="00EB7629"/>
    <w:rsid w:val="00EB795E"/>
    <w:rsid w:val="00EC0403"/>
    <w:rsid w:val="00EC2250"/>
    <w:rsid w:val="00EC68BC"/>
    <w:rsid w:val="00ED78EE"/>
    <w:rsid w:val="00EE14A7"/>
    <w:rsid w:val="00F00DA1"/>
    <w:rsid w:val="00F03CCA"/>
    <w:rsid w:val="00F03E89"/>
    <w:rsid w:val="00F123C3"/>
    <w:rsid w:val="00F15182"/>
    <w:rsid w:val="00F23835"/>
    <w:rsid w:val="00F40324"/>
    <w:rsid w:val="00F63125"/>
    <w:rsid w:val="00F7696B"/>
    <w:rsid w:val="00F8601F"/>
    <w:rsid w:val="00F91223"/>
    <w:rsid w:val="00F95E89"/>
    <w:rsid w:val="00FA1517"/>
    <w:rsid w:val="00FC2960"/>
    <w:rsid w:val="00FC3E6C"/>
    <w:rsid w:val="00FC5550"/>
    <w:rsid w:val="00FC6618"/>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 w:type="paragraph" w:styleId="NormalWeb">
    <w:name w:val="Normal (Web)"/>
    <w:basedOn w:val="Normal"/>
    <w:uiPriority w:val="99"/>
    <w:semiHidden/>
    <w:unhideWhenUsed/>
    <w:rsid w:val="009230CD"/>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4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3" ma:contentTypeDescription="Create a new document." ma:contentTypeScope="" ma:versionID="da12e90ea47527c92d42fb2fc6a4825e">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ceb924f6b16f5d83cc2f9f971cbb6e50"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Props1.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2.xml><?xml version="1.0" encoding="utf-8"?>
<ds:datastoreItem xmlns:ds="http://schemas.openxmlformats.org/officeDocument/2006/customXml" ds:itemID="{8816A414-D532-4923-8505-160460FF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15</cp:revision>
  <cp:lastPrinted>2022-03-14T09:55:00Z</cp:lastPrinted>
  <dcterms:created xsi:type="dcterms:W3CDTF">2023-03-07T12:34:00Z</dcterms:created>
  <dcterms:modified xsi:type="dcterms:W3CDTF">2023-03-08T14:30:00Z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