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ind w:left="0"/>
        <w:jc w:val="both"/>
        <w:rPr>
          <w:rFonts w:ascii="Palatino Linotype" w:hAnsi="Palatino Linotype"/>
          <w:b/>
          <w:sz w:val="22"/>
          <w:szCs w:val="22"/>
        </w:rPr>
      </w:pPr>
      <w:r>
        <w:rPr>
          <w:rFonts w:ascii="Palatino Linotype" w:hAnsi="Palatino Linotype"/>
          <w:b/>
          <w:sz w:val="22"/>
          <w:szCs w:val="22"/>
        </w:rPr>
        <w:t xml:space="preserve">Lead Practitioner English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7363"/>
      </w:tblGrid>
      <w:tr>
        <w:tc>
          <w:tcPr>
            <w:tcW w:w="1918" w:type="dxa"/>
          </w:tcPr>
          <w:p>
            <w:pPr>
              <w:ind w:left="0"/>
              <w:rPr>
                <w:rFonts w:ascii="Palatino Linotype" w:hAnsi="Palatino Linotype" w:cstheme="minorHAnsi"/>
                <w:sz w:val="22"/>
                <w:szCs w:val="22"/>
              </w:rPr>
            </w:pPr>
          </w:p>
        </w:tc>
        <w:tc>
          <w:tcPr>
            <w:tcW w:w="7363" w:type="dxa"/>
          </w:tcPr>
          <w:p>
            <w:pPr>
              <w:ind w:left="0"/>
              <w:rPr>
                <w:rFonts w:ascii="Palatino Linotype" w:hAnsi="Palatino Linotype" w:cstheme="minorHAnsi"/>
                <w:sz w:val="22"/>
                <w:szCs w:val="22"/>
              </w:rPr>
            </w:pPr>
          </w:p>
        </w:tc>
      </w:tr>
      <w:tr>
        <w:tc>
          <w:tcPr>
            <w:tcW w:w="1918" w:type="dxa"/>
          </w:tcPr>
          <w:p>
            <w:pPr>
              <w:ind w:left="0"/>
              <w:rPr>
                <w:rFonts w:ascii="Palatino Linotype" w:hAnsi="Palatino Linotype" w:cstheme="minorHAnsi"/>
                <w:sz w:val="22"/>
                <w:szCs w:val="22"/>
              </w:rPr>
            </w:pPr>
            <w:r>
              <w:rPr>
                <w:rFonts w:ascii="Palatino Linotype" w:hAnsi="Palatino Linotype" w:cstheme="minorHAnsi"/>
                <w:sz w:val="22"/>
                <w:szCs w:val="22"/>
              </w:rPr>
              <w:t>Responsible to:</w:t>
            </w:r>
          </w:p>
        </w:tc>
        <w:tc>
          <w:tcPr>
            <w:tcW w:w="7363" w:type="dxa"/>
          </w:tcPr>
          <w:p>
            <w:pPr>
              <w:ind w:left="0"/>
              <w:rPr>
                <w:rFonts w:ascii="Palatino Linotype" w:hAnsi="Palatino Linotype" w:cstheme="minorHAnsi"/>
                <w:sz w:val="22"/>
                <w:szCs w:val="22"/>
              </w:rPr>
            </w:pPr>
            <w:r>
              <w:rPr>
                <w:rFonts w:ascii="Palatino Linotype" w:hAnsi="Palatino Linotype" w:cstheme="minorHAnsi"/>
                <w:sz w:val="22"/>
                <w:szCs w:val="22"/>
              </w:rPr>
              <w:t xml:space="preserve">SLT Teaching and Learning  </w:t>
            </w:r>
          </w:p>
          <w:p>
            <w:pPr>
              <w:ind w:left="0"/>
              <w:rPr>
                <w:rFonts w:ascii="Palatino Linotype" w:hAnsi="Palatino Linotype" w:cstheme="minorHAnsi"/>
                <w:sz w:val="22"/>
                <w:szCs w:val="22"/>
              </w:rPr>
            </w:pPr>
          </w:p>
        </w:tc>
      </w:tr>
      <w:tr>
        <w:tc>
          <w:tcPr>
            <w:tcW w:w="1918" w:type="dxa"/>
          </w:tcPr>
          <w:p>
            <w:pPr>
              <w:ind w:left="0"/>
              <w:rPr>
                <w:rFonts w:ascii="Palatino Linotype" w:hAnsi="Palatino Linotype" w:cstheme="minorHAnsi"/>
                <w:sz w:val="22"/>
                <w:szCs w:val="22"/>
              </w:rPr>
            </w:pPr>
            <w:r>
              <w:rPr>
                <w:rFonts w:ascii="Palatino Linotype" w:hAnsi="Palatino Linotype" w:cstheme="minorHAnsi"/>
                <w:sz w:val="22"/>
                <w:szCs w:val="22"/>
              </w:rPr>
              <w:t>Staff Salary:</w:t>
            </w:r>
          </w:p>
        </w:tc>
        <w:tc>
          <w:tcPr>
            <w:tcW w:w="7363" w:type="dxa"/>
          </w:tcPr>
          <w:p>
            <w:pPr>
              <w:ind w:left="0"/>
              <w:rPr>
                <w:rFonts w:ascii="Palatino Linotype" w:hAnsi="Palatino Linotype" w:cstheme="minorHAnsi"/>
                <w:sz w:val="22"/>
                <w:szCs w:val="22"/>
              </w:rPr>
            </w:pPr>
            <w:r>
              <w:rPr>
                <w:rFonts w:ascii="Palatino Linotype" w:hAnsi="Palatino Linotype" w:cstheme="minorHAnsi"/>
                <w:sz w:val="22"/>
                <w:szCs w:val="22"/>
              </w:rPr>
              <w:t xml:space="preserve">L5 -L10  </w:t>
            </w:r>
          </w:p>
        </w:tc>
      </w:tr>
      <w:tr>
        <w:tc>
          <w:tcPr>
            <w:tcW w:w="1918" w:type="dxa"/>
          </w:tcPr>
          <w:p>
            <w:pPr>
              <w:ind w:left="0"/>
              <w:rPr>
                <w:rFonts w:ascii="Palatino Linotype" w:hAnsi="Palatino Linotype" w:cstheme="minorHAnsi"/>
                <w:sz w:val="22"/>
                <w:szCs w:val="22"/>
              </w:rPr>
            </w:pPr>
          </w:p>
        </w:tc>
        <w:tc>
          <w:tcPr>
            <w:tcW w:w="7363" w:type="dxa"/>
          </w:tcPr>
          <w:p>
            <w:pPr>
              <w:ind w:left="0"/>
              <w:rPr>
                <w:rFonts w:ascii="Palatino Linotype" w:hAnsi="Palatino Linotype" w:cstheme="minorHAnsi"/>
                <w:sz w:val="22"/>
                <w:szCs w:val="22"/>
              </w:rPr>
            </w:pPr>
          </w:p>
        </w:tc>
      </w:tr>
    </w:tbl>
    <w:p>
      <w:pPr>
        <w:spacing w:line="240" w:lineRule="auto"/>
        <w:ind w:left="0"/>
        <w:rPr>
          <w:rFonts w:ascii="Palatino Linotype" w:hAnsi="Palatino Linotype" w:cstheme="minorHAnsi"/>
          <w:sz w:val="22"/>
          <w:szCs w:val="22"/>
        </w:rPr>
      </w:pPr>
    </w:p>
    <w:p>
      <w:pPr>
        <w:spacing w:line="240" w:lineRule="auto"/>
        <w:ind w:left="0"/>
        <w:rPr>
          <w:rFonts w:ascii="Palatino Linotype" w:hAnsi="Palatino Linotype" w:cstheme="minorHAnsi"/>
          <w:b/>
          <w:sz w:val="22"/>
          <w:szCs w:val="22"/>
        </w:rPr>
      </w:pPr>
      <w:r>
        <w:rPr>
          <w:rFonts w:ascii="Palatino Linotype" w:hAnsi="Palatino Linotype" w:cstheme="minorHAnsi"/>
          <w:b/>
          <w:sz w:val="22"/>
          <w:szCs w:val="22"/>
        </w:rPr>
        <w:t>Job Description</w:t>
      </w:r>
    </w:p>
    <w:p>
      <w:pPr>
        <w:spacing w:line="240" w:lineRule="auto"/>
        <w:ind w:left="0"/>
        <w:jc w:val="both"/>
        <w:rPr>
          <w:rFonts w:ascii="Palatino Linotype" w:hAnsi="Palatino Linotype" w:cstheme="minorHAnsi"/>
          <w:sz w:val="22"/>
          <w:szCs w:val="22"/>
        </w:rPr>
      </w:pPr>
      <w:r>
        <w:rPr>
          <w:rFonts w:ascii="Palatino Linotype" w:hAnsi="Palatino Linotype" w:cstheme="minorHAnsi"/>
          <w:sz w:val="22"/>
          <w:szCs w:val="22"/>
        </w:rPr>
        <w:t>This job description may be amended at any time following consultation between the Head of School and Lead Practitioner, it will be reviewed annually.</w:t>
      </w:r>
    </w:p>
    <w:p>
      <w:pPr>
        <w:spacing w:line="240" w:lineRule="auto"/>
        <w:ind w:left="0"/>
        <w:jc w:val="both"/>
        <w:rPr>
          <w:rFonts w:ascii="Palatino Linotype" w:hAnsi="Palatino Linotype" w:cstheme="minorHAnsi"/>
          <w:sz w:val="22"/>
          <w:szCs w:val="22"/>
        </w:rPr>
      </w:pPr>
    </w:p>
    <w:p>
      <w:pPr>
        <w:spacing w:line="240" w:lineRule="auto"/>
        <w:ind w:left="0"/>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Aims and purpose</w:t>
      </w:r>
    </w:p>
    <w:p>
      <w:pPr>
        <w:pStyle w:val="Default"/>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To ensure the full implementation of the Teaching for Learning Policy throughout the English Faculty and across the Academy, focusing on the highest standards of academic, personal and social development of all students by: </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Consistently delivering the highest standard of teaching in your own lessons that maximises students’ progress and acting as a leader for Teaching for Learning at all times.</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Rigorously ensuring that the Teaching for Learning Policy is implemented, by working with staff and constantly liaising with the Head of Faculty, ensuring that quality first teaching is of the highest priority in the Faculty and across the Academy.</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Being accountable for continuous improvement in the quality of teaching in English and across the Academy. </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Putting planned strategies in place to ensure that teaching is judged to be at least good across the Faculty and the Academy.  </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Creating and assisting in the development of appropriate curriculum plans, schemes of work, differentiated resources and teaching strategies across the Faculty and Academy. </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Undertaking research into best practice in other schools, as well as visiting and networking with other schools where necessary and ensuring that best practice is shared and implemented when deemed appropriate. </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Leading, inspiring and motivating colleagues in developing their teaching and learning through mentoring, coaching and support.</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Leading effective CPD within the Faculty and across the Academy.</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Reflecting on evidence about your own practice and that of others and about student learning, and having a deep-seated drive for excellence.</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Contributing to a clear strategic vision for Teaching for Learning, developing and being responsible for specific strands of Teaching for Learning, in line with the Academy’s Development Plan. </w:t>
      </w:r>
    </w:p>
    <w:p>
      <w:pPr>
        <w:pStyle w:val="Default"/>
        <w:ind w:left="405"/>
        <w:jc w:val="both"/>
        <w:rPr>
          <w:rFonts w:ascii="Palatino Linotype" w:hAnsi="Palatino Linotype" w:cstheme="minorHAnsi"/>
          <w:color w:val="000000" w:themeColor="text1"/>
          <w:sz w:val="22"/>
          <w:szCs w:val="22"/>
        </w:rPr>
      </w:pPr>
    </w:p>
    <w:p>
      <w:pPr>
        <w:pStyle w:val="Default"/>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Promote personal development, behaviour and welfare by:</w:t>
      </w:r>
    </w:p>
    <w:p>
      <w:pPr>
        <w:pStyle w:val="Default"/>
        <w:numPr>
          <w:ilvl w:val="0"/>
          <w:numId w:val="19"/>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Actively promoting all aspects of students’ welfare.</w:t>
      </w:r>
    </w:p>
    <w:p>
      <w:pPr>
        <w:pStyle w:val="Default"/>
        <w:numPr>
          <w:ilvl w:val="0"/>
          <w:numId w:val="19"/>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Ensuring students are and feel safe at all times and understand how to keep themselves and others safe in different settings.</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Developing a trusting</w:t>
      </w:r>
      <w:r>
        <w:rPr>
          <w:rFonts w:ascii="Palatino Linotype" w:hAnsi="Palatino Linotype" w:cstheme="minorHAnsi"/>
          <w:sz w:val="22"/>
          <w:szCs w:val="22"/>
        </w:rPr>
        <w:t>, reliable and strong professional relationship with the students that ensures rapid and appropriate actions will be taken to resolve any concerns that they may have.</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Establishing a safe and stimulating environment for all students.</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Ensuring students have an age appropriate understanding of how to stay healthy, what a healthy relationship is and are confident in staying safe from abuse, exploitation and radicalisation.</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Consistently modelling the positive attitudes, values and behaviours which are expected of students at all times.</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Establishing a culture that promotes excellence, equality and high expectations of all students within an environment where mutual respect, tolerance and having fun together are common place.</w:t>
      </w:r>
    </w:p>
    <w:p>
      <w:pPr>
        <w:pStyle w:val="Default"/>
        <w:jc w:val="both"/>
        <w:rPr>
          <w:rFonts w:ascii="Palatino Linotype" w:hAnsi="Palatino Linotype" w:cstheme="minorHAnsi"/>
          <w:sz w:val="22"/>
          <w:szCs w:val="22"/>
        </w:rPr>
      </w:pPr>
    </w:p>
    <w:p>
      <w:pPr>
        <w:pStyle w:val="Default"/>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Leading, Motivating and Developing by:</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Being acutely aware of your responsibility as a Lead Practitioner and the positive impact that your work can have on shaping the lives of our students. </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Mentoring a number of teachers throughout the academic year including the line management of designated teaching and support staff.  Ensuring the provisions in lessons are of the highest standard, challenging and supporting staff when this is not the case. </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To assist in the induction of NQTs, trainees and teachers new to the Faculty and Academy, including modelling lesson expectations. </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Carry out subject/quality assurance activities e.g. BLINKS and observations.</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Make well founded appraisals of situations when asked to advise upon, applying high level skills in lesson observation to evaluate and advise colleagues on their work and devising and implementing effective strategies to meet learning needs leading to improvements in learner outcomes.</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To construct, revise and develop schemes of work and to include a variety of resources and teaching and learning methods to allow all students to achieve success.</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To develop high-quality materials for supporting teaching across the Academy.</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To participate in the Academy’s CPD programme and Performance Management process </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To take responsibility for keeping up to date with subject knowledge and to maintain personal professional development.</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sz w:val="22"/>
          <w:szCs w:val="22"/>
        </w:rPr>
        <w:t xml:space="preserve">Working alongside teachers within the English Faculty to ensure the provisions in lessons are of the highest standard, challenging and supporting staff when this is not the case. </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Developing a Teaching for Learning ethos which enables everyone to work collaboratively, share knowledge and understanding, celebrate successes and accept responsibility for outcomes.</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Be responsible for developing specific strands of Teaching for Learning, in line with the Academy’s Development Plan</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To prepare and deliver training, carry out lesson observations and be involved in work scrutinies.</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Supporting and ensuring the full implementation all GLC polices with a particular emphasis on the Teaching for Learning, Assessment, Safeguarding, Homework, and Behaviour for Learning Policies across the Academy.</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Having a deep accurate understanding of Academy lessons’ effectiveness, informed by the views of students, parents/carers and staff, using this information to ensure improvements in key areas and celebrate successes. </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Effectively prioritising your workload.</w:t>
      </w:r>
    </w:p>
    <w:p>
      <w:pPr>
        <w:pStyle w:val="Default"/>
        <w:jc w:val="both"/>
        <w:rPr>
          <w:rFonts w:ascii="Palatino Linotype" w:hAnsi="Palatino Linotype" w:cstheme="minorHAnsi"/>
          <w:b/>
          <w:sz w:val="22"/>
          <w:szCs w:val="22"/>
        </w:rPr>
      </w:pPr>
    </w:p>
    <w:p>
      <w:pPr>
        <w:pStyle w:val="Default"/>
        <w:jc w:val="both"/>
        <w:rPr>
          <w:rFonts w:ascii="Palatino Linotype" w:hAnsi="Palatino Linotype" w:cstheme="minorHAnsi"/>
          <w:b/>
          <w:sz w:val="22"/>
          <w:szCs w:val="22"/>
        </w:rPr>
      </w:pPr>
    </w:p>
    <w:p>
      <w:pPr>
        <w:pStyle w:val="Default"/>
        <w:jc w:val="both"/>
        <w:rPr>
          <w:rFonts w:ascii="Palatino Linotype" w:hAnsi="Palatino Linotype" w:cstheme="minorHAnsi"/>
          <w:b/>
          <w:sz w:val="22"/>
          <w:szCs w:val="22"/>
        </w:rPr>
      </w:pPr>
    </w:p>
    <w:p>
      <w:pPr>
        <w:pStyle w:val="Default"/>
        <w:jc w:val="both"/>
        <w:rPr>
          <w:rFonts w:ascii="Palatino Linotype" w:hAnsi="Palatino Linotype" w:cstheme="minorHAnsi"/>
          <w:b/>
          <w:sz w:val="22"/>
          <w:szCs w:val="22"/>
        </w:rPr>
      </w:pPr>
      <w:r>
        <w:rPr>
          <w:rFonts w:ascii="Palatino Linotype" w:hAnsi="Palatino Linotype" w:cstheme="minorHAnsi"/>
          <w:b/>
          <w:sz w:val="22"/>
          <w:szCs w:val="22"/>
        </w:rPr>
        <w:t>Teacher specific responsibilities</w:t>
      </w:r>
    </w:p>
    <w:p>
      <w:pPr>
        <w:pStyle w:val="Default"/>
        <w:jc w:val="both"/>
        <w:rPr>
          <w:rFonts w:ascii="Palatino Linotype" w:hAnsi="Palatino Linotype" w:cstheme="minorHAnsi"/>
          <w:b/>
          <w:sz w:val="22"/>
          <w:szCs w:val="22"/>
        </w:rPr>
      </w:pPr>
      <w:r>
        <w:rPr>
          <w:rFonts w:ascii="Palatino Linotype" w:hAnsi="Palatino Linotype" w:cstheme="minorHAnsi"/>
          <w:b/>
          <w:bCs/>
          <w:i/>
          <w:sz w:val="22"/>
          <w:szCs w:val="22"/>
        </w:rPr>
        <w:t>Specific Duties</w:t>
      </w:r>
      <w:r>
        <w:rPr>
          <w:rFonts w:ascii="Palatino Linotype" w:hAnsi="Palatino Linotype" w:cstheme="minorHAnsi"/>
          <w:bCs/>
          <w:sz w:val="22"/>
          <w:szCs w:val="22"/>
        </w:rPr>
        <w:t xml:space="preserve">: </w:t>
      </w:r>
    </w:p>
    <w:p>
      <w:pPr>
        <w:pStyle w:val="Default"/>
        <w:jc w:val="both"/>
        <w:rPr>
          <w:rFonts w:ascii="Palatino Linotype" w:hAnsi="Palatino Linotype" w:cstheme="minorHAnsi"/>
          <w:b/>
          <w:sz w:val="22"/>
          <w:szCs w:val="22"/>
        </w:rPr>
      </w:pPr>
      <w:r>
        <w:rPr>
          <w:rFonts w:ascii="Palatino Linotype" w:hAnsi="Palatino Linotype" w:cstheme="minorHAnsi"/>
          <w:sz w:val="22"/>
          <w:szCs w:val="22"/>
        </w:rPr>
        <w:t xml:space="preserve">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parents/carers in the best interests of their students. </w:t>
      </w:r>
    </w:p>
    <w:p>
      <w:pPr>
        <w:pStyle w:val="Default"/>
        <w:jc w:val="both"/>
        <w:rPr>
          <w:rFonts w:ascii="Palatino Linotype" w:hAnsi="Palatino Linotype" w:cstheme="minorHAnsi"/>
          <w:bCs/>
          <w:sz w:val="22"/>
          <w:szCs w:val="22"/>
        </w:rPr>
      </w:pPr>
    </w:p>
    <w:p>
      <w:pPr>
        <w:pStyle w:val="Default"/>
        <w:jc w:val="both"/>
        <w:rPr>
          <w:rFonts w:ascii="Palatino Linotype" w:hAnsi="Palatino Linotype" w:cstheme="minorHAnsi"/>
          <w:b/>
          <w:sz w:val="22"/>
          <w:szCs w:val="22"/>
        </w:rPr>
      </w:pPr>
      <w:r>
        <w:rPr>
          <w:rFonts w:ascii="Palatino Linotype" w:hAnsi="Palatino Linotype" w:cstheme="minorHAnsi"/>
          <w:b/>
          <w:bCs/>
          <w:sz w:val="22"/>
          <w:szCs w:val="22"/>
        </w:rPr>
        <w:t>PART ONE: TEACHING</w:t>
      </w:r>
    </w:p>
    <w:p>
      <w:pPr>
        <w:pStyle w:val="Default"/>
        <w:jc w:val="both"/>
        <w:rPr>
          <w:rFonts w:ascii="Palatino Linotype" w:hAnsi="Palatino Linotype" w:cstheme="minorHAnsi"/>
          <w:b/>
          <w:sz w:val="22"/>
          <w:szCs w:val="22"/>
        </w:rPr>
      </w:pPr>
      <w:r>
        <w:rPr>
          <w:rFonts w:ascii="Palatino Linotype" w:hAnsi="Palatino Linotype" w:cstheme="minorHAnsi"/>
          <w:bCs/>
          <w:sz w:val="22"/>
          <w:szCs w:val="22"/>
        </w:rPr>
        <w:t xml:space="preserve">A teacher must: </w:t>
      </w:r>
    </w:p>
    <w:p>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Set high expectations which inspire, motivate and challenge students:</w:t>
      </w:r>
    </w:p>
    <w:p>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Establish a safe and stimulating environment for students, rooted in mutual respect.</w:t>
      </w:r>
    </w:p>
    <w:p>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Set goals that stretch and challenge students of all backgrounds, abilities and dispositions.</w:t>
      </w:r>
    </w:p>
    <w:p>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 xml:space="preserve">Demonstrate consistently, the positive attitudes, values and behaviour which are expected of all students. </w:t>
      </w:r>
    </w:p>
    <w:p>
      <w:pPr>
        <w:pStyle w:val="Default"/>
        <w:jc w:val="both"/>
        <w:rPr>
          <w:rFonts w:ascii="Palatino Linotype" w:hAnsi="Palatino Linotype" w:cstheme="minorHAnsi"/>
          <w:sz w:val="22"/>
          <w:szCs w:val="22"/>
        </w:rPr>
      </w:pPr>
    </w:p>
    <w:p>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Promote good progress and outcomes by students: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Be accountable for students’ attainment, progress and outcomes.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Analyse students’ data and exam performance to inform planning and intervention. </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Plan teaching to build on students' capabilities and prior knowledge.</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Guide students to reflect on the progress they have made and their emerging needs.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Demonstrate knowledge and understanding of how students learn and ensuring high quality planning of lessons reflects this. </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Encourage students to take a responsible and conscientious attitude to their own work and study. </w:t>
      </w:r>
    </w:p>
    <w:p>
      <w:pPr>
        <w:pStyle w:val="Default"/>
        <w:jc w:val="both"/>
        <w:rPr>
          <w:rFonts w:ascii="Palatino Linotype" w:hAnsi="Palatino Linotype" w:cstheme="minorHAnsi"/>
          <w:sz w:val="22"/>
          <w:szCs w:val="22"/>
        </w:rPr>
      </w:pPr>
    </w:p>
    <w:p>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Demonstrate good subject and curriculum knowledge:</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Have a secure knowledge of the relevant subject(s) and curriculum areas, foster and maintain students’ interest in the subject and address misunderstandings.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Demonstrate a critical understanding of developments in the subject and curriculum areas and promote the value of scholarship.</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Demonstrate an understanding of and take responsibility for promoting high standards of literacy, articulacy and the correct use of Standard English, whatever the teachers’ specialist subject.</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If teaching early reading, demonstrate a clear understanding of systematic synthetic phonics.</w:t>
      </w:r>
    </w:p>
    <w:p>
      <w:pPr>
        <w:pStyle w:val="Default"/>
        <w:ind w:left="360"/>
        <w:jc w:val="both"/>
        <w:rPr>
          <w:rFonts w:ascii="Palatino Linotype" w:hAnsi="Palatino Linotype" w:cstheme="minorHAnsi"/>
          <w:b/>
          <w:sz w:val="22"/>
          <w:szCs w:val="22"/>
        </w:rPr>
      </w:pPr>
    </w:p>
    <w:p>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Plan and teach well-structured lessons: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Impart knowledge and develop understanding through effective use of lesson time.</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Promote a love of learning and children’s intellectual curiosity.</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Set homework according to the Academy’s timetable and plan other out-of-class activities to consolidate and extend the knowledge and understanding students have acquired.</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Reflect systematically on the effectiveness of lessons and approaches to teaching.</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Contribute to the design and provision of an engaging curriculum within the relevant subject areas.</w:t>
      </w:r>
    </w:p>
    <w:p>
      <w:pPr>
        <w:pStyle w:val="Default"/>
        <w:jc w:val="both"/>
        <w:rPr>
          <w:rFonts w:ascii="Palatino Linotype" w:hAnsi="Palatino Linotype" w:cstheme="minorHAnsi"/>
          <w:b/>
          <w:sz w:val="22"/>
          <w:szCs w:val="22"/>
        </w:rPr>
      </w:pPr>
    </w:p>
    <w:p>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Adapt teaching to respond to the strengths and needs of all students: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Know when and how to differentiate appropriately, using approaches which enable students to be taught effectively.</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Have a secure understanding of how a range of factors can inhibit students’ ability to learn, and how best to overcome these.</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Demonstrate an awareness of the physical, social and intellectual development of children, and know how to adapt teaching to support students’ education at different stages of their development.</w:t>
      </w:r>
    </w:p>
    <w:p>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t>Have a clear understanding of the needs of all students, including those with Special Educational Needs; those of high ability; those with English as an additional language; those with disabilities</w:t>
      </w:r>
      <w:r>
        <w:rPr>
          <w:rFonts w:ascii="Palatino Linotype" w:hAnsi="Palatino Linotype" w:cstheme="minorHAnsi"/>
          <w:color w:val="auto"/>
          <w:sz w:val="22"/>
          <w:szCs w:val="22"/>
        </w:rPr>
        <w:t xml:space="preserve"> and be able to use and evaluate distinctive teaching approaches to engage and support them. </w:t>
      </w:r>
    </w:p>
    <w:p>
      <w:pPr>
        <w:pStyle w:val="Default"/>
        <w:jc w:val="both"/>
        <w:rPr>
          <w:rFonts w:ascii="Palatino Linotype" w:hAnsi="Palatino Linotype" w:cstheme="minorHAnsi"/>
          <w:b/>
          <w:color w:val="auto"/>
          <w:sz w:val="22"/>
          <w:szCs w:val="22"/>
        </w:rPr>
      </w:pP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Make accurate and productive use of assessment:</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Know and understand how to assess the relevant subject and curriculum areas, including statutory assessment requirements.</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Make use of formative and summative assessment to secure students’ progress.</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Use relevant data to monitor progress, set targets, and plan subsequent lessons.</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Give students regular feedback, both orally and through accurate marking, within the agreed time and encourage students to respond to the feedback.</w:t>
      </w:r>
    </w:p>
    <w:p>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t>Follow</w:t>
      </w:r>
      <w:r>
        <w:rPr>
          <w:rFonts w:ascii="Palatino Linotype" w:hAnsi="Palatino Linotype" w:cstheme="minorHAnsi"/>
          <w:color w:val="auto"/>
          <w:sz w:val="22"/>
          <w:szCs w:val="22"/>
        </w:rPr>
        <w:t xml:space="preserve"> the Academy’s Assessments Reporting Policies. </w:t>
      </w:r>
    </w:p>
    <w:p>
      <w:pPr>
        <w:pStyle w:val="Default"/>
        <w:jc w:val="both"/>
        <w:rPr>
          <w:rFonts w:ascii="Palatino Linotype" w:hAnsi="Palatino Linotype" w:cstheme="minorHAnsi"/>
          <w:b/>
          <w:color w:val="auto"/>
          <w:sz w:val="22"/>
          <w:szCs w:val="22"/>
        </w:rPr>
      </w:pP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Manage behaviour effectively to ensure a good and safe learning environment:</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Have high expectations of behaviour and establish a framework for discipline with a range of strategies, using praise, sanctions and rewards consistently and fairly.</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Manage classes effectively, using approaches which are appropriate to students’ needs in order to involve and motivate them.</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Maintain good relationships with students, exercise appropriate authority and act decisively when necessary.</w:t>
      </w:r>
    </w:p>
    <w:p>
      <w:pPr>
        <w:pStyle w:val="Default"/>
        <w:jc w:val="both"/>
        <w:rPr>
          <w:rFonts w:ascii="Palatino Linotype" w:hAnsi="Palatino Linotype" w:cstheme="minorHAnsi"/>
          <w:b/>
          <w:color w:val="auto"/>
          <w:sz w:val="22"/>
          <w:szCs w:val="22"/>
        </w:rPr>
      </w:pP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Fulfil wider professional responsibilities:</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Make a positive contribution to the wider life and ethos of the Academy including extra-curricular.</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Develop effective professional relationships with colleagues, knowing how and when to draw on advice and specialist support.</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Deploy support staff effectively.</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Take responsibility for improving teaching through appropriate professional development, responding to advice and feedback from colleagues.</w:t>
      </w:r>
    </w:p>
    <w:p>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t>Communicate effectively with parents/carers with regard to students’ achievements and well-</w:t>
      </w:r>
      <w:r>
        <w:rPr>
          <w:rFonts w:ascii="Palatino Linotype" w:hAnsi="Palatino Linotype" w:cstheme="minorHAnsi"/>
          <w:color w:val="auto"/>
          <w:sz w:val="22"/>
          <w:szCs w:val="22"/>
        </w:rPr>
        <w:t xml:space="preserve">being.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bCs/>
          <w:color w:val="auto"/>
          <w:sz w:val="22"/>
          <w:szCs w:val="22"/>
        </w:rPr>
      </w:pPr>
      <w:r>
        <w:rPr>
          <w:rFonts w:ascii="Palatino Linotype" w:hAnsi="Palatino Linotype" w:cstheme="minorHAnsi"/>
          <w:b/>
          <w:bCs/>
          <w:color w:val="auto"/>
          <w:sz w:val="22"/>
          <w:szCs w:val="22"/>
        </w:rPr>
        <w:t>PART TWO: PERSONAL AND PROFESSIONAL CONDUCT</w:t>
      </w: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are expected to demonstrate consistently high standards of personal and professional conduct.  The following statements define the behaviour and attitudes which set the required standard for conduct throughout a teacher’s career.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uphold public trust in the profession and maintain high standards of ethics and behaviour, within and outside the Academy, by: </w:t>
      </w: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Treating students with dignity, building relationships rooted in mutual respect and at all times observing proper boundaries appropriate to a teacher’s professional position.</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Having regard for the need to safeguard students’ well-being, in English with statutory provisions.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Showing tolerance of and respect for the rights of others.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Not undermining fundamental British values, including democracy, the rule of law, individual liberty and mutual respect and tolerance of those with different faiths and beliefs.</w:t>
      </w: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Ensuring that personal beliefs are not expressed in ways which exploit students’ vulnerability or might lead them to break the law.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must have proper and professional regard for the ethos, policies and practices of the Academy in which they teach and maintain high standards in their own attendance and punctuality.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must understand and always act within, the statutory frameworks which set out their professional duties and responsibilities.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bCs/>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b/>
          <w:bCs/>
          <w:color w:val="auto"/>
          <w:sz w:val="22"/>
          <w:szCs w:val="22"/>
        </w:rPr>
        <w:t>PART THREE: PERSONAL TUTOR</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To act as a personal tutor within the year group system. </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be responsible for the wellbeing and academic progress of their personal Tutor Group.</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act as the first point of contact for parents/carers.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actively promote good attendance for your Tutor Group.</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be responsible for the Academy's reward system within the Tutor Group.</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meet regularly with the Progress Leader and attend Year Group meetings.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support inter-form and extra-curricular activities as arranged by the Pastoral Team.</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To ensure that students follow the Academy's Uniform Policy </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ensure that students follow the Academy's rules and policies.</w:t>
      </w: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To set a good example in terms of dress, punctuality and attendance. </w:t>
      </w:r>
    </w:p>
    <w:p>
      <w:pPr>
        <w:pStyle w:val="Default"/>
        <w:jc w:val="both"/>
        <w:rPr>
          <w:rFonts w:ascii="Palatino Linotype" w:hAnsi="Palatino Linotype" w:cstheme="minorHAnsi"/>
          <w:b/>
          <w:color w:val="auto"/>
          <w:sz w:val="22"/>
          <w:szCs w:val="22"/>
        </w:rPr>
      </w:pPr>
    </w:p>
    <w:p>
      <w:pPr>
        <w:widowControl w:val="0"/>
        <w:spacing w:line="240" w:lineRule="auto"/>
        <w:ind w:left="0"/>
        <w:jc w:val="both"/>
        <w:rPr>
          <w:rFonts w:ascii="Palatino Linotype" w:hAnsi="Palatino Linotype" w:cstheme="minorHAnsi"/>
          <w:sz w:val="22"/>
          <w:szCs w:val="22"/>
        </w:rPr>
      </w:pPr>
      <w:r>
        <w:rPr>
          <w:rFonts w:ascii="Palatino Linotype" w:hAnsi="Palatino Linotype" w:cstheme="minorHAnsi"/>
          <w:b/>
          <w:bCs/>
          <w:sz w:val="22"/>
          <w:szCs w:val="22"/>
        </w:rPr>
        <w:t>Other professional requirements and duties include:</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Setting a good standard of behaviour and being a good role model for children, supporting the Academy’s Policy on Behaviour and Discipline and sharing responsibility for the behaviour of all children within the Academy.</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Establishing good relationships with parents/carers - creating trust and confidence, communicating with parents/carers about general Academy issues, curriculum matters and individual children’s progress.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Being responsible for the welfare and safety of support staff, students and others working in the classroom and ensuring they are used to the maximum benefit of the children.</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Sharing responsibilities for whole Academy events and activities including attending and leading assemblies.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Developing and maintaining effective systems for communication with other teachers, support staff and the Head of School to ensure continuity of learning, consistency of approach and message.</w:t>
      </w:r>
    </w:p>
    <w:p>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Informing the Head of School of any concerns that the parents/carers have in relation to work or other aspects of education</w:t>
      </w:r>
      <w:r>
        <w:rPr>
          <w:rFonts w:ascii="Palatino Linotype" w:hAnsi="Palatino Linotype" w:cstheme="minorHAnsi"/>
          <w:sz w:val="22"/>
          <w:szCs w:val="22"/>
        </w:rPr>
        <w:t xml:space="preserve"> at the earliest opportunity.</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Taking shared responsibility for the care and appearance of the Academy’s environment and to encourage all children to have pride in their Academy.</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Being mutually supportive of other teachers and the Head of School, to foster good working relationships and a happy working environment.</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Participating in any arrangements for the appraisal of your performance.</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Taking responsibility for areas of the curriculum to ensure continuity and progression and ensure that standards are monitored.</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Maintaining Academy confidentiality at all times.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Ensuring you are aware of your common law duty in relation to the health, safety and welfare of the children in the Academy or when leading activities off the Academy’s site and that all such procedures are followed in line with the Academy’s Policy and Procedures.</w:t>
      </w:r>
    </w:p>
    <w:p>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Knowing teachers’ legal responsibilities in relation to the Race Relations Act 1976, Sex Discrimination Act 1975, Children’s Act 1989, Child Protection procedures, appropriate physical contact</w:t>
      </w:r>
      <w:r>
        <w:rPr>
          <w:rFonts w:ascii="Palatino Linotype" w:hAnsi="Palatino Linotype" w:cstheme="minorHAnsi"/>
          <w:sz w:val="22"/>
          <w:szCs w:val="22"/>
        </w:rPr>
        <w:t xml:space="preserve"> and physical restraint of students and other relevant DFE circulars</w:t>
      </w:r>
    </w:p>
    <w:p>
      <w:pPr>
        <w:widowControl w:val="0"/>
        <w:spacing w:line="240" w:lineRule="auto"/>
        <w:jc w:val="both"/>
        <w:rPr>
          <w:rFonts w:ascii="Palatino Linotype" w:hAnsi="Palatino Linotype" w:cstheme="minorHAnsi"/>
          <w:sz w:val="22"/>
          <w:szCs w:val="22"/>
        </w:rPr>
      </w:pPr>
    </w:p>
    <w:p>
      <w:pPr>
        <w:widowControl w:val="0"/>
        <w:spacing w:line="240" w:lineRule="auto"/>
        <w:ind w:left="0"/>
        <w:jc w:val="both"/>
        <w:rPr>
          <w:rFonts w:ascii="Palatino Linotype" w:hAnsi="Palatino Linotype" w:cstheme="minorHAnsi"/>
          <w:b/>
          <w:bCs/>
          <w:sz w:val="22"/>
          <w:szCs w:val="22"/>
        </w:rPr>
      </w:pPr>
    </w:p>
    <w:p>
      <w:pPr>
        <w:widowControl w:val="0"/>
        <w:spacing w:line="240" w:lineRule="auto"/>
        <w:ind w:left="0"/>
        <w:jc w:val="both"/>
        <w:rPr>
          <w:rFonts w:ascii="Palatino Linotype" w:hAnsi="Palatino Linotype" w:cstheme="minorHAnsi"/>
          <w:b/>
          <w:bCs/>
          <w:sz w:val="22"/>
          <w:szCs w:val="22"/>
        </w:rPr>
      </w:pPr>
    </w:p>
    <w:p>
      <w:pPr>
        <w:widowControl w:val="0"/>
        <w:spacing w:line="240" w:lineRule="auto"/>
        <w:ind w:left="0"/>
        <w:jc w:val="both"/>
        <w:rPr>
          <w:rFonts w:ascii="Palatino Linotype" w:hAnsi="Palatino Linotype" w:cstheme="minorHAnsi"/>
          <w:b/>
          <w:bCs/>
          <w:sz w:val="22"/>
          <w:szCs w:val="22"/>
        </w:rPr>
      </w:pPr>
    </w:p>
    <w:p>
      <w:pPr>
        <w:widowControl w:val="0"/>
        <w:spacing w:line="240" w:lineRule="auto"/>
        <w:ind w:left="0"/>
        <w:jc w:val="both"/>
        <w:rPr>
          <w:rFonts w:ascii="Palatino Linotype" w:hAnsi="Palatino Linotype" w:cstheme="minorHAnsi"/>
          <w:b/>
          <w:bCs/>
          <w:sz w:val="22"/>
          <w:szCs w:val="22"/>
        </w:rPr>
      </w:pPr>
    </w:p>
    <w:p>
      <w:pPr>
        <w:widowControl w:val="0"/>
        <w:spacing w:line="240" w:lineRule="auto"/>
        <w:ind w:left="0"/>
        <w:jc w:val="both"/>
        <w:rPr>
          <w:rFonts w:ascii="Palatino Linotype" w:hAnsi="Palatino Linotype" w:cstheme="minorHAnsi"/>
          <w:b/>
          <w:bCs/>
          <w:sz w:val="22"/>
          <w:szCs w:val="22"/>
        </w:rPr>
      </w:pPr>
      <w:r>
        <w:rPr>
          <w:rFonts w:ascii="Palatino Linotype" w:hAnsi="Palatino Linotype" w:cstheme="minorHAnsi"/>
          <w:b/>
          <w:bCs/>
          <w:sz w:val="22"/>
          <w:szCs w:val="22"/>
        </w:rPr>
        <w:t xml:space="preserve">PART FOUR: </w:t>
      </w:r>
      <w:r>
        <w:rPr>
          <w:rFonts w:ascii="Palatino Linotype" w:hAnsi="Palatino Linotype" w:cstheme="minorHAnsi"/>
          <w:b/>
          <w:sz w:val="22"/>
          <w:szCs w:val="22"/>
        </w:rPr>
        <w:t>CONDITIONS OF SERVICE</w:t>
      </w:r>
    </w:p>
    <w:p>
      <w:pPr>
        <w:widowControl w:val="0"/>
        <w:spacing w:line="240" w:lineRule="auto"/>
        <w:ind w:left="0"/>
        <w:jc w:val="both"/>
        <w:rPr>
          <w:rFonts w:ascii="Palatino Linotype" w:hAnsi="Palatino Linotype" w:cstheme="minorHAnsi"/>
          <w:sz w:val="22"/>
          <w:szCs w:val="22"/>
          <w14:ligatures w14:val="standard"/>
        </w:rPr>
      </w:pPr>
      <w:r>
        <w:rPr>
          <w:rFonts w:ascii="Palatino Linotype" w:hAnsi="Palatino Linotype" w:cstheme="minorHAnsi"/>
          <w:sz w:val="22"/>
          <w:szCs w:val="22"/>
        </w:rPr>
        <w:t>The role of teacher is subject to the following terms and conditions: -</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The post-holder shall be required to fulfil all the responsibilities of a teacher as outlined in the Schoolteachers' Pay and Conditions Document and any orders made under it and fulfil all the standards identified within the National Standards for Teachers.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The other terms and conditions set out in the National Collective Agreements in force from time to time</w:t>
      </w:r>
    </w:p>
    <w:p>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The</w:t>
      </w:r>
      <w:r>
        <w:rPr>
          <w:rFonts w:ascii="Palatino Linotype" w:hAnsi="Palatino Linotype" w:cstheme="minorHAnsi"/>
          <w:sz w:val="22"/>
          <w:szCs w:val="22"/>
        </w:rPr>
        <w:t xml:space="preserve"> Academy’s Instrument and Articles of Government as appropriate. </w:t>
      </w:r>
    </w:p>
    <w:p>
      <w:pPr>
        <w:pStyle w:val="ListParagraph"/>
        <w:widowControl w:val="0"/>
        <w:numPr>
          <w:ilvl w:val="0"/>
          <w:numId w:val="26"/>
        </w:numPr>
        <w:spacing w:line="240" w:lineRule="auto"/>
        <w:jc w:val="both"/>
        <w:rPr>
          <w:rFonts w:ascii="Palatino Linotype" w:hAnsi="Palatino Linotype" w:cstheme="minorHAnsi"/>
          <w:sz w:val="22"/>
          <w:szCs w:val="22"/>
        </w:rPr>
      </w:pPr>
      <w:r>
        <w:rPr>
          <w:rFonts w:ascii="Palatino Linotype" w:hAnsi="Palatino Linotype" w:cstheme="minorHAnsi"/>
          <w:sz w:val="22"/>
          <w:szCs w:val="22"/>
        </w:rPr>
        <w:t xml:space="preserve">The teacher shall be available to perform such duties at such times and places as may be specified by the Head of School for the 1265 hours required in the Conditions of Service for full-time teachers.  The travelling time to and from the place of work does not contribute towards this time. </w:t>
      </w:r>
    </w:p>
    <w:p>
      <w:pPr>
        <w:pStyle w:val="ListParagraph"/>
        <w:widowControl w:val="0"/>
        <w:numPr>
          <w:ilvl w:val="0"/>
          <w:numId w:val="26"/>
        </w:numPr>
        <w:spacing w:line="240" w:lineRule="auto"/>
        <w:jc w:val="both"/>
        <w:rPr>
          <w:rFonts w:ascii="Palatino Linotype" w:hAnsi="Palatino Linotype" w:cstheme="minorHAnsi"/>
          <w:sz w:val="22"/>
          <w:szCs w:val="22"/>
        </w:rPr>
      </w:pPr>
      <w:r>
        <w:rPr>
          <w:rFonts w:ascii="Palatino Linotype" w:hAnsi="Palatino Linotype" w:cstheme="minorHAnsi"/>
          <w:sz w:val="22"/>
          <w:szCs w:val="22"/>
        </w:rPr>
        <w:t>The teacher will, in addition to these requirements, work such additional hours as may be needed to enable her/him to discharge effectively her/his professional duties, including in particular the planning and preparation of children's work, marking and writing of reports, preparing teaching materials.  The amount of time beyond the required 1265 hours allocated for such duties shall not be determined by the employer but shall depend upon the work needed to discharge the teacher's professional responsibilities.</w:t>
      </w:r>
    </w:p>
    <w:p>
      <w:pPr>
        <w:widowControl w:val="0"/>
        <w:spacing w:line="240" w:lineRule="auto"/>
        <w:jc w:val="both"/>
        <w:rPr>
          <w:rFonts w:ascii="Palatino Linotype" w:hAnsi="Palatino Linotype" w:cstheme="minorHAnsi"/>
          <w:sz w:val="22"/>
          <w:szCs w:val="22"/>
        </w:rPr>
      </w:pPr>
    </w:p>
    <w:p>
      <w:pPr>
        <w:widowControl w:val="0"/>
        <w:spacing w:line="240" w:lineRule="auto"/>
        <w:ind w:left="0"/>
        <w:jc w:val="both"/>
        <w:rPr>
          <w:rFonts w:ascii="Palatino Linotype" w:hAnsi="Palatino Linotype" w:cstheme="minorHAnsi"/>
          <w:i/>
          <w:iCs/>
          <w:sz w:val="22"/>
          <w:szCs w:val="22"/>
        </w:rPr>
      </w:pPr>
      <w:r>
        <w:rPr>
          <w:rFonts w:ascii="Palatino Linotype" w:hAnsi="Palatino Linotype" w:cstheme="minorHAnsi"/>
          <w:b/>
          <w:i/>
          <w:iCs/>
          <w:sz w:val="22"/>
          <w:szCs w:val="22"/>
        </w:rPr>
        <w:t>Pension - unless you have notified otherwise, it is assumed that, as a full-time employee, you will contribute to the Teachers’ Superannuation Scheme under the provisions of the Teachers’ Superannuation Regulations.  Details of the scheme can be obtained from the Finance Team, your professional association or the Teachers’ Pension Agency, Darlington</w:t>
      </w:r>
      <w:r>
        <w:rPr>
          <w:rFonts w:ascii="Palatino Linotype" w:hAnsi="Palatino Linotype" w:cstheme="minorHAnsi"/>
          <w:i/>
          <w:iCs/>
          <w:sz w:val="22"/>
          <w:szCs w:val="22"/>
        </w:rPr>
        <w:t>.</w:t>
      </w:r>
    </w:p>
    <w:p>
      <w:pPr>
        <w:widowControl w:val="0"/>
        <w:spacing w:line="240" w:lineRule="auto"/>
        <w:ind w:left="0"/>
        <w:jc w:val="both"/>
        <w:rPr>
          <w:rFonts w:ascii="Palatino Linotype" w:hAnsi="Palatino Linotype" w:cstheme="minorHAnsi"/>
          <w:i/>
          <w:iCs/>
          <w:sz w:val="22"/>
          <w:szCs w:val="22"/>
        </w:rPr>
      </w:pPr>
    </w:p>
    <w:p>
      <w:pPr>
        <w:rPr>
          <w:rFonts w:ascii="Palatino Linotype" w:hAnsi="Palatino Linotype" w:cstheme="minorHAnsi"/>
          <w:i/>
          <w:iCs/>
          <w:sz w:val="22"/>
          <w:szCs w:val="22"/>
        </w:rPr>
      </w:pPr>
      <w:r>
        <w:rPr>
          <w:rFonts w:ascii="Palatino Linotype" w:hAnsi="Palatino Linotype" w:cstheme="minorHAnsi"/>
          <w:i/>
          <w:iCs/>
          <w:sz w:val="22"/>
          <w:szCs w:val="22"/>
        </w:rPr>
        <w:br w:type="page"/>
      </w:r>
    </w:p>
    <w:sectPr>
      <w:headerReference w:type="even" r:id="rId7"/>
      <w:headerReference w:type="default" r:id="rId8"/>
      <w:footerReference w:type="default" r:id="rId9"/>
      <w:headerReference w:type="first" r:id="rId10"/>
      <w:pgSz w:w="11906" w:h="16838"/>
      <w:pgMar w:top="156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rPr>
      <w:drawing>
        <wp:anchor distT="0" distB="0" distL="114300" distR="114300" simplePos="0" relativeHeight="251676672" behindDoc="1" locked="0" layoutInCell="1" allowOverlap="1">
          <wp:simplePos x="0" y="0"/>
          <wp:positionH relativeFrom="column">
            <wp:posOffset>-613764</wp:posOffset>
          </wp:positionH>
          <wp:positionV relativeFrom="paragraph">
            <wp:posOffset>188319</wp:posOffset>
          </wp:positionV>
          <wp:extent cx="1998921" cy="335069"/>
          <wp:effectExtent l="0" t="0" r="1905"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101" cy="341972"/>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16282" o:spid="_x0000_s2052" type="#_x0000_t136" style="position:absolute;left:0;text-align:left;margin-left:0;margin-top:0;width:485.3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v:shape id="_x0000_s2050" type="#_x0000_t136" style="position:absolute;left:0;text-align:left;margin-left:0;margin-top:0;width:485.3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75648" behindDoc="1" locked="0" layoutInCell="1" allowOverlap="1">
          <wp:simplePos x="0" y="0"/>
          <wp:positionH relativeFrom="page">
            <wp:align>right</wp:align>
          </wp:positionH>
          <wp:positionV relativeFrom="paragraph">
            <wp:posOffset>-364682</wp:posOffset>
          </wp:positionV>
          <wp:extent cx="3401695" cy="621665"/>
          <wp:effectExtent l="0" t="0" r="825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1695" cy="621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16281" o:spid="_x0000_s2051" type="#_x0000_t136" style="position:absolute;left:0;text-align:left;margin-left:0;margin-top:0;width:485.3pt;height:194.1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590"/>
    <w:multiLevelType w:val="hybridMultilevel"/>
    <w:tmpl w:val="DD5E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836D7"/>
    <w:multiLevelType w:val="hybridMultilevel"/>
    <w:tmpl w:val="6274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2984"/>
    <w:multiLevelType w:val="hybridMultilevel"/>
    <w:tmpl w:val="DA74272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60696"/>
    <w:multiLevelType w:val="hybridMultilevel"/>
    <w:tmpl w:val="1350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E0CBE"/>
    <w:multiLevelType w:val="hybridMultilevel"/>
    <w:tmpl w:val="2C22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00E1E"/>
    <w:multiLevelType w:val="hybridMultilevel"/>
    <w:tmpl w:val="72F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17322"/>
    <w:multiLevelType w:val="hybridMultilevel"/>
    <w:tmpl w:val="3BE422C6"/>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5479"/>
    <w:multiLevelType w:val="hybridMultilevel"/>
    <w:tmpl w:val="C9266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B51934"/>
    <w:multiLevelType w:val="hybridMultilevel"/>
    <w:tmpl w:val="3776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24DFA"/>
    <w:multiLevelType w:val="hybridMultilevel"/>
    <w:tmpl w:val="5C60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9BA0153"/>
    <w:multiLevelType w:val="hybridMultilevel"/>
    <w:tmpl w:val="FA24CF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1B82A0C"/>
    <w:multiLevelType w:val="hybridMultilevel"/>
    <w:tmpl w:val="8F38D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8456366"/>
    <w:multiLevelType w:val="hybridMultilevel"/>
    <w:tmpl w:val="01601E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F4F696A"/>
    <w:multiLevelType w:val="hybridMultilevel"/>
    <w:tmpl w:val="BA54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B1135"/>
    <w:multiLevelType w:val="hybridMultilevel"/>
    <w:tmpl w:val="A826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33C88"/>
    <w:multiLevelType w:val="hybridMultilevel"/>
    <w:tmpl w:val="DE14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3576B"/>
    <w:multiLevelType w:val="hybridMultilevel"/>
    <w:tmpl w:val="D106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96967"/>
    <w:multiLevelType w:val="hybridMultilevel"/>
    <w:tmpl w:val="945E65EA"/>
    <w:lvl w:ilvl="0" w:tplc="EBA6CFE8">
      <w:start w:val="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497A0719"/>
    <w:multiLevelType w:val="hybridMultilevel"/>
    <w:tmpl w:val="1914950A"/>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77829"/>
    <w:multiLevelType w:val="hybridMultilevel"/>
    <w:tmpl w:val="A4BA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7D2CE9"/>
    <w:multiLevelType w:val="hybridMultilevel"/>
    <w:tmpl w:val="4D48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10492"/>
    <w:multiLevelType w:val="hybridMultilevel"/>
    <w:tmpl w:val="BC00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A4011"/>
    <w:multiLevelType w:val="hybridMultilevel"/>
    <w:tmpl w:val="3A94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364F4"/>
    <w:multiLevelType w:val="hybridMultilevel"/>
    <w:tmpl w:val="4C26DE7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F1D5B"/>
    <w:multiLevelType w:val="hybridMultilevel"/>
    <w:tmpl w:val="E8C8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364D3"/>
    <w:multiLevelType w:val="hybridMultilevel"/>
    <w:tmpl w:val="A2E48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D70F0"/>
    <w:multiLevelType w:val="hybridMultilevel"/>
    <w:tmpl w:val="DE1A0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EE3FDE"/>
    <w:multiLevelType w:val="hybridMultilevel"/>
    <w:tmpl w:val="E0CC7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9539FA"/>
    <w:multiLevelType w:val="hybridMultilevel"/>
    <w:tmpl w:val="B220E89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E26EF"/>
    <w:multiLevelType w:val="hybridMultilevel"/>
    <w:tmpl w:val="87461C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D12F6"/>
    <w:multiLevelType w:val="hybridMultilevel"/>
    <w:tmpl w:val="35C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703F0"/>
    <w:multiLevelType w:val="hybridMultilevel"/>
    <w:tmpl w:val="EA2648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92704"/>
    <w:multiLevelType w:val="hybridMultilevel"/>
    <w:tmpl w:val="DF6C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50530"/>
    <w:multiLevelType w:val="hybridMultilevel"/>
    <w:tmpl w:val="3CBE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F7203A"/>
    <w:multiLevelType w:val="hybridMultilevel"/>
    <w:tmpl w:val="F6BC1C42"/>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44DF5"/>
    <w:multiLevelType w:val="hybridMultilevel"/>
    <w:tmpl w:val="958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3570C"/>
    <w:multiLevelType w:val="hybridMultilevel"/>
    <w:tmpl w:val="5DDE9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63E78"/>
    <w:multiLevelType w:val="hybridMultilevel"/>
    <w:tmpl w:val="927C2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956902"/>
    <w:multiLevelType w:val="hybridMultilevel"/>
    <w:tmpl w:val="66B2441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17"/>
  </w:num>
  <w:num w:numId="6">
    <w:abstractNumId w:val="6"/>
  </w:num>
  <w:num w:numId="7">
    <w:abstractNumId w:val="20"/>
  </w:num>
  <w:num w:numId="8">
    <w:abstractNumId w:val="14"/>
  </w:num>
  <w:num w:numId="9">
    <w:abstractNumId w:val="16"/>
  </w:num>
  <w:num w:numId="10">
    <w:abstractNumId w:val="30"/>
  </w:num>
  <w:num w:numId="11">
    <w:abstractNumId w:val="32"/>
  </w:num>
  <w:num w:numId="12">
    <w:abstractNumId w:val="15"/>
  </w:num>
  <w:num w:numId="13">
    <w:abstractNumId w:val="24"/>
  </w:num>
  <w:num w:numId="14">
    <w:abstractNumId w:val="22"/>
  </w:num>
  <w:num w:numId="15">
    <w:abstractNumId w:val="3"/>
  </w:num>
  <w:num w:numId="16">
    <w:abstractNumId w:val="35"/>
  </w:num>
  <w:num w:numId="17">
    <w:abstractNumId w:val="8"/>
  </w:num>
  <w:num w:numId="18">
    <w:abstractNumId w:val="31"/>
  </w:num>
  <w:num w:numId="19">
    <w:abstractNumId w:val="38"/>
  </w:num>
  <w:num w:numId="20">
    <w:abstractNumId w:val="7"/>
  </w:num>
  <w:num w:numId="21">
    <w:abstractNumId w:val="4"/>
  </w:num>
  <w:num w:numId="22">
    <w:abstractNumId w:val="29"/>
  </w:num>
  <w:num w:numId="23">
    <w:abstractNumId w:val="0"/>
  </w:num>
  <w:num w:numId="24">
    <w:abstractNumId w:val="1"/>
  </w:num>
  <w:num w:numId="25">
    <w:abstractNumId w:val="5"/>
  </w:num>
  <w:num w:numId="26">
    <w:abstractNumId w:val="26"/>
  </w:num>
  <w:num w:numId="27">
    <w:abstractNumId w:val="39"/>
  </w:num>
  <w:num w:numId="28">
    <w:abstractNumId w:val="25"/>
  </w:num>
  <w:num w:numId="29">
    <w:abstractNumId w:val="18"/>
  </w:num>
  <w:num w:numId="30">
    <w:abstractNumId w:val="2"/>
  </w:num>
  <w:num w:numId="31">
    <w:abstractNumId w:val="40"/>
  </w:num>
  <w:num w:numId="32">
    <w:abstractNumId w:val="28"/>
  </w:num>
  <w:num w:numId="33">
    <w:abstractNumId w:val="23"/>
  </w:num>
  <w:num w:numId="34">
    <w:abstractNumId w:val="34"/>
  </w:num>
  <w:num w:numId="35">
    <w:abstractNumId w:val="19"/>
  </w:num>
  <w:num w:numId="36">
    <w:abstractNumId w:val="37"/>
  </w:num>
  <w:num w:numId="37">
    <w:abstractNumId w:val="13"/>
  </w:num>
  <w:num w:numId="38">
    <w:abstractNumId w:val="27"/>
  </w:num>
  <w:num w:numId="39">
    <w:abstractNumId w:val="36"/>
  </w:num>
  <w:num w:numId="40">
    <w:abstractNumId w:val="33"/>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241"/>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BD2346B-D9F5-4F6A-AD35-81B3FE75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line="276" w:lineRule="auto"/>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line="240" w:lineRule="auto"/>
      <w:ind w:left="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 Laptop</dc:creator>
  <cp:lastModifiedBy>Grainne McLaughlin</cp:lastModifiedBy>
  <cp:revision>2</cp:revision>
  <dcterms:created xsi:type="dcterms:W3CDTF">2024-02-27T11:50:00Z</dcterms:created>
  <dcterms:modified xsi:type="dcterms:W3CDTF">2024-02-27T11:50:00Z</dcterms:modified>
</cp:coreProperties>
</file>