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206" w:rsidRPr="001E324F" w:rsidRDefault="00313206" w:rsidP="001E324F">
      <w:pPr>
        <w:pStyle w:val="Heading"/>
        <w:spacing w:after="0"/>
        <w:rPr>
          <w:sz w:val="22"/>
          <w:szCs w:val="22"/>
        </w:rPr>
      </w:pPr>
      <w:r w:rsidRPr="001E324F">
        <w:rPr>
          <w:sz w:val="22"/>
          <w:szCs w:val="22"/>
        </w:rPr>
        <w:t>Job Description –</w:t>
      </w:r>
      <w:r w:rsidR="009B3A25" w:rsidRPr="001E324F">
        <w:rPr>
          <w:sz w:val="22"/>
          <w:szCs w:val="22"/>
        </w:rPr>
        <w:t xml:space="preserve"> </w:t>
      </w:r>
      <w:r w:rsidR="000E2A4D">
        <w:rPr>
          <w:sz w:val="22"/>
          <w:szCs w:val="22"/>
        </w:rPr>
        <w:t>Learning Support Assistant</w:t>
      </w:r>
    </w:p>
    <w:p w:rsidR="00313206" w:rsidRPr="001E324F" w:rsidRDefault="00313206" w:rsidP="001E324F">
      <w:pPr>
        <w:pStyle w:val="Text"/>
        <w:spacing w:after="0" w:line="360" w:lineRule="auto"/>
      </w:pPr>
      <w:r w:rsidRPr="001E324F">
        <w:rPr>
          <w:rStyle w:val="Sub-headingChar"/>
        </w:rPr>
        <w:t>Salary / grade:</w:t>
      </w:r>
      <w:r w:rsidRPr="001E324F">
        <w:t xml:space="preserve"> </w:t>
      </w:r>
      <w:r w:rsidR="00A319AB">
        <w:t>G</w:t>
      </w:r>
      <w:r w:rsidR="001C3C85">
        <w:t>S3</w:t>
      </w:r>
    </w:p>
    <w:p w:rsidR="00E572DF" w:rsidRDefault="00313206" w:rsidP="001E324F">
      <w:pPr>
        <w:pStyle w:val="Text"/>
        <w:spacing w:after="0" w:line="360" w:lineRule="auto"/>
      </w:pPr>
      <w:r w:rsidRPr="001E324F">
        <w:rPr>
          <w:rStyle w:val="Sub-headingChar"/>
        </w:rPr>
        <w:t>Hours:</w:t>
      </w:r>
      <w:r w:rsidRPr="001E324F">
        <w:t xml:space="preserve"> </w:t>
      </w:r>
      <w:r w:rsidR="00E572DF">
        <w:t>2</w:t>
      </w:r>
      <w:r w:rsidR="000E2A4D">
        <w:t xml:space="preserve">7.08 </w:t>
      </w:r>
      <w:r w:rsidR="00E572DF">
        <w:t>hours p</w:t>
      </w:r>
      <w:r w:rsidR="001C3C85">
        <w:t xml:space="preserve">er </w:t>
      </w:r>
      <w:r w:rsidR="00E572DF">
        <w:t>w</w:t>
      </w:r>
      <w:r w:rsidR="001C3C85">
        <w:t>eek</w:t>
      </w:r>
    </w:p>
    <w:p w:rsidR="00313206" w:rsidRPr="001E324F" w:rsidRDefault="00313206" w:rsidP="001E324F">
      <w:pPr>
        <w:pStyle w:val="Text"/>
        <w:spacing w:after="0" w:line="360" w:lineRule="auto"/>
      </w:pPr>
      <w:r w:rsidRPr="001E324F">
        <w:rPr>
          <w:rStyle w:val="Sub-headingChar"/>
        </w:rPr>
        <w:t>Contract type:</w:t>
      </w:r>
      <w:r w:rsidR="00E572DF">
        <w:t xml:space="preserve"> </w:t>
      </w:r>
      <w:r w:rsidR="001C3C85">
        <w:t>f</w:t>
      </w:r>
      <w:r w:rsidR="00E572DF">
        <w:t>ull time</w:t>
      </w:r>
      <w:r w:rsidR="001C3C85">
        <w:t>, permanent, term time only (38.6 weeks, including 3 INSETS)</w:t>
      </w:r>
    </w:p>
    <w:p w:rsidR="00313206" w:rsidRPr="001E324F" w:rsidRDefault="00313206" w:rsidP="001E324F">
      <w:pPr>
        <w:pStyle w:val="Text"/>
        <w:spacing w:after="0" w:line="360" w:lineRule="auto"/>
      </w:pPr>
      <w:r w:rsidRPr="001E324F">
        <w:rPr>
          <w:rStyle w:val="Sub-headingChar"/>
        </w:rPr>
        <w:t>Responsible to:</w:t>
      </w:r>
      <w:r w:rsidR="00E572DF">
        <w:t xml:space="preserve"> </w:t>
      </w:r>
      <w:proofErr w:type="spellStart"/>
      <w:r w:rsidR="00E572DF">
        <w:t>SENDCo</w:t>
      </w:r>
      <w:proofErr w:type="spellEnd"/>
    </w:p>
    <w:p w:rsidR="00313206" w:rsidRPr="001E324F" w:rsidRDefault="00313206" w:rsidP="001E324F">
      <w:pPr>
        <w:pStyle w:val="Text"/>
        <w:spacing w:after="0" w:line="360" w:lineRule="auto"/>
      </w:pPr>
      <w:bookmarkStart w:id="0" w:name="_GoBack"/>
      <w:bookmarkEnd w:id="0"/>
    </w:p>
    <w:p w:rsidR="00313206" w:rsidRPr="001E324F" w:rsidRDefault="00313206" w:rsidP="001E324F">
      <w:pPr>
        <w:pStyle w:val="Heading"/>
        <w:spacing w:after="0"/>
        <w:rPr>
          <w:sz w:val="22"/>
          <w:szCs w:val="22"/>
        </w:rPr>
      </w:pPr>
      <w:r w:rsidRPr="001E324F">
        <w:rPr>
          <w:sz w:val="22"/>
          <w:szCs w:val="22"/>
        </w:rPr>
        <w:t>Main purpose</w:t>
      </w:r>
    </w:p>
    <w:p w:rsidR="00313206" w:rsidRDefault="00E572DF" w:rsidP="001E324F">
      <w:pPr>
        <w:pStyle w:val="Text"/>
        <w:spacing w:after="0" w:line="360" w:lineRule="auto"/>
      </w:pPr>
      <w:r w:rsidRPr="00E572DF">
        <w:t>To assist in the education, support and integration of students with Special Educational Needs within mainstream schooling.  Ensure the best possible achievement for all pupils.</w:t>
      </w:r>
    </w:p>
    <w:p w:rsidR="00E572DF" w:rsidRPr="001E324F" w:rsidRDefault="00E572DF" w:rsidP="001E324F">
      <w:pPr>
        <w:pStyle w:val="Text"/>
        <w:spacing w:after="0" w:line="360" w:lineRule="auto"/>
      </w:pPr>
    </w:p>
    <w:p w:rsidR="00E572DF" w:rsidRPr="00E572DF" w:rsidRDefault="00313206" w:rsidP="00E572DF">
      <w:pPr>
        <w:pStyle w:val="Heading"/>
        <w:spacing w:after="0"/>
        <w:rPr>
          <w:sz w:val="22"/>
          <w:szCs w:val="22"/>
        </w:rPr>
      </w:pPr>
      <w:r w:rsidRPr="001E324F">
        <w:rPr>
          <w:sz w:val="22"/>
          <w:szCs w:val="22"/>
        </w:rPr>
        <w:t>Duties and responsibilities</w:t>
      </w:r>
      <w:r w:rsidR="00E572DF">
        <w:rPr>
          <w:rFonts w:asciiTheme="minorHAnsi" w:hAnsiTheme="minorHAnsi" w:cstheme="minorHAnsi"/>
        </w:rPr>
        <w:t xml:space="preserve"> </w:t>
      </w:r>
    </w:p>
    <w:p w:rsidR="00E572DF" w:rsidRPr="001E324F" w:rsidRDefault="00E572DF" w:rsidP="001E324F">
      <w:pPr>
        <w:pStyle w:val="Heading"/>
        <w:spacing w:after="0"/>
        <w:rPr>
          <w:sz w:val="22"/>
          <w:szCs w:val="22"/>
        </w:rPr>
      </w:pPr>
    </w:p>
    <w:p w:rsidR="00313206" w:rsidRPr="001E324F" w:rsidRDefault="00E572DF" w:rsidP="001E324F">
      <w:pPr>
        <w:pStyle w:val="Sub-heading"/>
        <w:spacing w:after="0" w:line="360" w:lineRule="auto"/>
      </w:pPr>
      <w:r w:rsidRPr="001E324F">
        <w:t xml:space="preserve"> </w:t>
      </w:r>
      <w:r>
        <w:t>SEND Students</w:t>
      </w:r>
    </w:p>
    <w:p w:rsidR="00E572DF" w:rsidRPr="00E572DF" w:rsidRDefault="00E572DF" w:rsidP="001E324F">
      <w:pPr>
        <w:pStyle w:val="Text"/>
        <w:numPr>
          <w:ilvl w:val="0"/>
          <w:numId w:val="1"/>
        </w:numPr>
        <w:spacing w:after="0" w:line="360" w:lineRule="auto"/>
      </w:pPr>
      <w:r w:rsidRPr="00E572DF">
        <w:t>Draw on knowledge of Special Needs to develop an understanding of the individual needs of students.</w:t>
      </w:r>
    </w:p>
    <w:p w:rsidR="00313206" w:rsidRDefault="00E572DF" w:rsidP="00E572DF">
      <w:pPr>
        <w:pStyle w:val="Text"/>
        <w:numPr>
          <w:ilvl w:val="0"/>
          <w:numId w:val="1"/>
        </w:numPr>
        <w:spacing w:after="0" w:line="360" w:lineRule="auto"/>
      </w:pPr>
      <w:r w:rsidRPr="00E572DF">
        <w:t>Aid SEN students to learn as effectively as possible both in group situations and individually, taking into account their diverse needs.</w:t>
      </w:r>
    </w:p>
    <w:p w:rsidR="00E572DF" w:rsidRPr="001E324F" w:rsidRDefault="00E572DF" w:rsidP="00E572DF">
      <w:pPr>
        <w:pStyle w:val="Text"/>
        <w:numPr>
          <w:ilvl w:val="0"/>
          <w:numId w:val="1"/>
        </w:numPr>
        <w:spacing w:after="0" w:line="360" w:lineRule="auto"/>
      </w:pPr>
      <w:r w:rsidRPr="00E572DF">
        <w:t>Encourage acceptance and integration of SEN students.</w:t>
      </w:r>
    </w:p>
    <w:p w:rsidR="00313206" w:rsidRPr="001E324F" w:rsidRDefault="00E572DF" w:rsidP="001E324F">
      <w:pPr>
        <w:pStyle w:val="Sub-heading"/>
        <w:spacing w:after="0" w:line="360" w:lineRule="auto"/>
      </w:pPr>
      <w:r>
        <w:t>All Students</w:t>
      </w:r>
    </w:p>
    <w:p w:rsidR="00E572DF" w:rsidRDefault="00E572DF" w:rsidP="00E572DF">
      <w:pPr>
        <w:pStyle w:val="Text"/>
        <w:numPr>
          <w:ilvl w:val="0"/>
          <w:numId w:val="2"/>
        </w:numPr>
        <w:spacing w:after="0" w:line="360" w:lineRule="auto"/>
        <w:ind w:left="1134" w:hanging="708"/>
      </w:pPr>
      <w:r w:rsidRPr="00E572DF">
        <w:t xml:space="preserve">Establish supportive relationships with all students. </w:t>
      </w:r>
    </w:p>
    <w:p w:rsidR="00313206" w:rsidRDefault="00E572DF" w:rsidP="00E572DF">
      <w:pPr>
        <w:pStyle w:val="Text"/>
        <w:numPr>
          <w:ilvl w:val="0"/>
          <w:numId w:val="2"/>
        </w:numPr>
        <w:spacing w:after="0" w:line="360" w:lineRule="auto"/>
        <w:ind w:left="1134" w:hanging="708"/>
      </w:pPr>
      <w:r w:rsidRPr="00E572DF">
        <w:t>Develop methods of promoting and reinforcing students’ self-esteem.</w:t>
      </w:r>
    </w:p>
    <w:p w:rsidR="00E572DF" w:rsidRPr="001E324F" w:rsidRDefault="00E572DF" w:rsidP="00E572DF">
      <w:pPr>
        <w:pStyle w:val="Text"/>
        <w:numPr>
          <w:ilvl w:val="0"/>
          <w:numId w:val="2"/>
        </w:numPr>
        <w:spacing w:after="0" w:line="360" w:lineRule="auto"/>
        <w:ind w:left="1134" w:hanging="708"/>
      </w:pPr>
      <w:r w:rsidRPr="00E572DF">
        <w:t>Deliver programmes of work to small groups.</w:t>
      </w:r>
    </w:p>
    <w:p w:rsidR="00313206" w:rsidRPr="001E324F" w:rsidRDefault="00E572DF" w:rsidP="001E324F">
      <w:pPr>
        <w:pStyle w:val="Sub-heading"/>
        <w:spacing w:after="0" w:line="360" w:lineRule="auto"/>
      </w:pPr>
      <w:r>
        <w:t xml:space="preserve">Professional </w:t>
      </w:r>
      <w:r w:rsidR="00797C01">
        <w:t>Responsibilities</w:t>
      </w:r>
    </w:p>
    <w:p w:rsidR="00313206" w:rsidRPr="00E572DF" w:rsidRDefault="00E572DF" w:rsidP="00E572DF">
      <w:pPr>
        <w:pStyle w:val="Text"/>
        <w:numPr>
          <w:ilvl w:val="0"/>
          <w:numId w:val="3"/>
        </w:numPr>
        <w:spacing w:after="0" w:line="360" w:lineRule="auto"/>
        <w:ind w:left="1134" w:hanging="774"/>
      </w:pPr>
      <w:r>
        <w:t xml:space="preserve"> </w:t>
      </w:r>
      <w:r w:rsidRPr="00E572DF">
        <w:t>Record and review student progress against agreed targets.</w:t>
      </w:r>
    </w:p>
    <w:p w:rsidR="00313206" w:rsidRDefault="00E572DF" w:rsidP="00E572DF">
      <w:pPr>
        <w:pStyle w:val="Text"/>
        <w:numPr>
          <w:ilvl w:val="0"/>
          <w:numId w:val="3"/>
        </w:numPr>
        <w:spacing w:after="0" w:line="360" w:lineRule="auto"/>
        <w:ind w:left="1134" w:hanging="774"/>
      </w:pPr>
      <w:r>
        <w:t xml:space="preserve"> </w:t>
      </w:r>
      <w:r w:rsidRPr="00E572DF">
        <w:t>Liaise with colleagues both within the department and teaching staff.</w:t>
      </w:r>
    </w:p>
    <w:p w:rsidR="00E572DF" w:rsidRDefault="00E572DF" w:rsidP="00E572DF">
      <w:pPr>
        <w:pStyle w:val="Text"/>
        <w:numPr>
          <w:ilvl w:val="0"/>
          <w:numId w:val="3"/>
        </w:numPr>
        <w:spacing w:after="0" w:line="360" w:lineRule="auto"/>
        <w:ind w:left="1134" w:hanging="774"/>
      </w:pPr>
      <w:r>
        <w:t xml:space="preserve"> </w:t>
      </w:r>
      <w:r w:rsidRPr="00E572DF">
        <w:t>Provide support as indicated by Access Arrangements in public exams.</w:t>
      </w:r>
    </w:p>
    <w:p w:rsidR="001E324F" w:rsidRPr="00BE1987" w:rsidRDefault="001E324F" w:rsidP="001E324F">
      <w:pPr>
        <w:pStyle w:val="Sub-heading"/>
        <w:spacing w:after="0" w:line="360" w:lineRule="auto"/>
      </w:pPr>
      <w:r w:rsidRPr="00BE1987">
        <w:t>Duties for all</w:t>
      </w:r>
    </w:p>
    <w:p w:rsidR="001E324F" w:rsidRPr="00BE1987" w:rsidRDefault="001E324F" w:rsidP="00E572DF">
      <w:pPr>
        <w:pStyle w:val="Text"/>
        <w:numPr>
          <w:ilvl w:val="0"/>
          <w:numId w:val="2"/>
        </w:numPr>
        <w:spacing w:after="0" w:line="360" w:lineRule="auto"/>
        <w:ind w:left="1276" w:hanging="850"/>
      </w:pPr>
      <w:r w:rsidRPr="00BE1987">
        <w:t xml:space="preserve">To maintain high standards of Health, Safety and Welfare at work and take </w:t>
      </w:r>
      <w:r w:rsidR="00E572DF">
        <w:t xml:space="preserve">      </w:t>
      </w:r>
      <w:r w:rsidRPr="00BE1987">
        <w:t>reasonable care for the health and safety of themselves and others</w:t>
      </w:r>
    </w:p>
    <w:p w:rsidR="001E324F" w:rsidRDefault="001E324F" w:rsidP="00E572DF">
      <w:pPr>
        <w:pStyle w:val="Text"/>
        <w:numPr>
          <w:ilvl w:val="0"/>
          <w:numId w:val="2"/>
        </w:numPr>
        <w:spacing w:after="0" w:line="360" w:lineRule="auto"/>
        <w:ind w:left="1276" w:hanging="850"/>
      </w:pPr>
      <w:r w:rsidRPr="00BE1987">
        <w:t>To have regard and comply with safeguarding policy and procedure as appropriate</w:t>
      </w:r>
    </w:p>
    <w:p w:rsidR="00E572DF" w:rsidRDefault="00E572DF" w:rsidP="00E572DF">
      <w:pPr>
        <w:pStyle w:val="Text"/>
        <w:numPr>
          <w:ilvl w:val="0"/>
          <w:numId w:val="2"/>
        </w:numPr>
        <w:spacing w:after="0" w:line="360" w:lineRule="auto"/>
        <w:ind w:left="1276" w:hanging="850"/>
      </w:pPr>
      <w:r w:rsidRPr="00E572DF">
        <w:t>To meet the professional standards for teaching assistants.</w:t>
      </w:r>
    </w:p>
    <w:p w:rsidR="00797C01" w:rsidRDefault="00797C01" w:rsidP="00797C01">
      <w:pPr>
        <w:pStyle w:val="Text"/>
        <w:spacing w:after="0" w:line="360" w:lineRule="auto"/>
        <w:ind w:left="1276"/>
      </w:pPr>
    </w:p>
    <w:p w:rsidR="00797C01" w:rsidRDefault="00797C01" w:rsidP="00797C01">
      <w:pPr>
        <w:pStyle w:val="Text"/>
        <w:spacing w:line="360" w:lineRule="auto"/>
      </w:pPr>
      <w:r>
        <w:t xml:space="preserve">Working with students aged 11-16 in a large comprehensive school: in whole class situations as well as in small groups.  Most TAs are faculty based and work under the direction of a teacher. An important role of a teaching assistant is to support the teacher in ensuring the </w:t>
      </w:r>
      <w:r>
        <w:lastRenderedPageBreak/>
        <w:t>best possible outcomes for all pupils. This would include adopting relevant strategies to increase the attainment and encourage participation of all pupils. The nature of the job requires a great deal of patience and understanding as TAs generally work with the neediest students as well as encountering challenging behaviour. In the same way as teachers, teaching assistants operate in a position of trust and are seen by pupils as role models. They should be able to maintain proper boundaries with pupils and their behaviours should reflect this responsible position.  Teaching assistants need to be able to work collaboratively with classroom teachers and other colleagues and keep other professionals accurately informed of performance and progress of students.</w:t>
      </w:r>
    </w:p>
    <w:p w:rsidR="001E324F" w:rsidRDefault="00797C01" w:rsidP="00797C01">
      <w:pPr>
        <w:pStyle w:val="Text"/>
        <w:spacing w:after="0" w:line="360" w:lineRule="auto"/>
      </w:pPr>
      <w:r>
        <w:t>There is a daily briefing with the SENCO.  There are also ad hoc meetings for departmental liaison, target setting and training: both in house and from outside agencies.  A teaching assistant would be expected to take opportunities to acquire the appropriate skills, qualifications and experience required for the teaching assistant role, with support from the school.</w:t>
      </w:r>
    </w:p>
    <w:p w:rsidR="00797C01" w:rsidRPr="001E324F" w:rsidRDefault="00797C01" w:rsidP="00797C01">
      <w:pPr>
        <w:pStyle w:val="Text"/>
        <w:spacing w:after="0" w:line="360" w:lineRule="auto"/>
      </w:pPr>
    </w:p>
    <w:p w:rsidR="00313206" w:rsidRDefault="00313206" w:rsidP="001E324F">
      <w:pPr>
        <w:pStyle w:val="Text"/>
        <w:spacing w:after="0" w:line="360" w:lineRule="auto"/>
      </w:pPr>
      <w:r w:rsidRPr="001E324F">
        <w:t>Please note that this is illustrative of the general nature and level of responsibility of the work to be undertaken, commensurate with the grade. It is not a comprehensive list of all tasks that the postholder will carry out.</w:t>
      </w:r>
    </w:p>
    <w:p w:rsidR="00797C01" w:rsidRPr="001E324F" w:rsidRDefault="00797C01" w:rsidP="001E324F">
      <w:pPr>
        <w:pStyle w:val="Text"/>
        <w:spacing w:after="0" w:line="360" w:lineRule="auto"/>
      </w:pPr>
    </w:p>
    <w:p w:rsidR="00313206" w:rsidRDefault="00313206" w:rsidP="001E324F">
      <w:pPr>
        <w:pStyle w:val="Text"/>
        <w:spacing w:after="0" w:line="360" w:lineRule="auto"/>
      </w:pPr>
      <w:r w:rsidRPr="001E324F">
        <w:t>This job description may be amended at any time in consultation with the postholder.</w:t>
      </w:r>
    </w:p>
    <w:p w:rsidR="00797C01" w:rsidRPr="001E324F" w:rsidRDefault="00797C01" w:rsidP="001E324F">
      <w:pPr>
        <w:pStyle w:val="Text"/>
        <w:spacing w:after="0" w:line="360" w:lineRule="auto"/>
      </w:pPr>
    </w:p>
    <w:p w:rsidR="00313206" w:rsidRPr="001E324F" w:rsidRDefault="00313206" w:rsidP="001E324F">
      <w:pPr>
        <w:pStyle w:val="Text"/>
        <w:spacing w:after="0" w:line="360" w:lineRule="auto"/>
        <w:rPr>
          <w:rStyle w:val="Sub-headingChar"/>
        </w:rPr>
      </w:pPr>
      <w:r w:rsidRPr="001E324F">
        <w:rPr>
          <w:rStyle w:val="Sub-headingChar"/>
        </w:rPr>
        <w:t xml:space="preserve">Last review date: </w:t>
      </w:r>
      <w:r w:rsidR="00E572DF">
        <w:t>May 2019</w:t>
      </w:r>
    </w:p>
    <w:p w:rsidR="00F139D3" w:rsidRPr="001E324F" w:rsidRDefault="00313206" w:rsidP="00313206">
      <w:pPr>
        <w:pStyle w:val="Text"/>
        <w:spacing w:line="360" w:lineRule="auto"/>
      </w:pPr>
      <w:r w:rsidRPr="001E324F">
        <w:rPr>
          <w:rStyle w:val="Sub-headingChar"/>
        </w:rPr>
        <w:t>Next review date:</w:t>
      </w:r>
      <w:r w:rsidR="00E572DF">
        <w:t xml:space="preserve"> May 2021</w:t>
      </w:r>
    </w:p>
    <w:p w:rsidR="00F139D3" w:rsidRPr="001E324F" w:rsidRDefault="00F139D3">
      <w:pPr>
        <w:spacing w:after="160" w:line="259" w:lineRule="auto"/>
        <w:rPr>
          <w:rFonts w:ascii="Arial" w:eastAsiaTheme="minorHAnsi" w:hAnsi="Arial" w:cs="Arial"/>
          <w:sz w:val="22"/>
          <w:szCs w:val="22"/>
        </w:rPr>
      </w:pPr>
      <w:r w:rsidRPr="001E324F">
        <w:rPr>
          <w:rFonts w:ascii="Arial" w:hAnsi="Arial" w:cs="Arial"/>
          <w:sz w:val="22"/>
          <w:szCs w:val="22"/>
        </w:rPr>
        <w:br w:type="page"/>
      </w:r>
    </w:p>
    <w:p w:rsidR="00313206" w:rsidRPr="001E324F" w:rsidRDefault="00313206" w:rsidP="00313206">
      <w:pPr>
        <w:spacing w:line="276" w:lineRule="auto"/>
        <w:rPr>
          <w:rFonts w:ascii="Arial" w:hAnsi="Arial" w:cs="Arial"/>
          <w:sz w:val="22"/>
          <w:szCs w:val="22"/>
        </w:rPr>
      </w:pPr>
      <w:r w:rsidRPr="001E324F">
        <w:rPr>
          <w:rFonts w:ascii="Arial" w:hAnsi="Arial" w:cs="Arial"/>
          <w:b/>
          <w:sz w:val="22"/>
          <w:szCs w:val="22"/>
        </w:rPr>
        <w:lastRenderedPageBreak/>
        <w:t xml:space="preserve">Job title: </w:t>
      </w:r>
      <w:r w:rsidR="00797C01">
        <w:rPr>
          <w:rFonts w:ascii="Arial" w:hAnsi="Arial" w:cs="Arial"/>
          <w:sz w:val="22"/>
          <w:szCs w:val="22"/>
        </w:rPr>
        <w:t>Teaching Assistant</w:t>
      </w:r>
    </w:p>
    <w:p w:rsidR="00313206" w:rsidRPr="001E324F" w:rsidRDefault="00313206" w:rsidP="00313206">
      <w:pPr>
        <w:spacing w:line="276" w:lineRule="auto"/>
        <w:rPr>
          <w:rFonts w:ascii="Arial" w:hAnsi="Arial" w:cs="Arial"/>
          <w:sz w:val="22"/>
          <w:szCs w:val="22"/>
        </w:rPr>
      </w:pPr>
    </w:p>
    <w:p w:rsidR="00313206" w:rsidRPr="001E324F" w:rsidRDefault="00313206" w:rsidP="00313206">
      <w:pPr>
        <w:spacing w:line="276" w:lineRule="auto"/>
        <w:rPr>
          <w:rFonts w:ascii="Arial" w:hAnsi="Arial" w:cs="Arial"/>
          <w:i/>
          <w:sz w:val="22"/>
          <w:szCs w:val="22"/>
        </w:rPr>
      </w:pPr>
      <w:r w:rsidRPr="001E324F">
        <w:rPr>
          <w:rFonts w:ascii="Arial" w:hAnsi="Arial" w:cs="Arial"/>
          <w:i/>
          <w:sz w:val="22"/>
          <w:szCs w:val="22"/>
        </w:rPr>
        <w:t>The table below outlines the essential and desirable criteria, which will be used to select the candidate(s) for this post.</w:t>
      </w:r>
    </w:p>
    <w:p w:rsidR="00313206" w:rsidRPr="001E324F" w:rsidRDefault="00313206" w:rsidP="00313206">
      <w:pPr>
        <w:pStyle w:val="Text"/>
        <w:spacing w:line="360" w:lineRule="auto"/>
      </w:pP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101"/>
        <w:gridCol w:w="2396"/>
        <w:gridCol w:w="2237"/>
        <w:gridCol w:w="2174"/>
      </w:tblGrid>
      <w:tr w:rsidR="00313206" w:rsidRPr="001E324F" w:rsidTr="00183306">
        <w:trPr>
          <w:trHeight w:val="375"/>
        </w:trPr>
        <w:tc>
          <w:tcPr>
            <w:tcW w:w="2268" w:type="dxa"/>
            <w:tcBorders>
              <w:top w:val="single" w:sz="4" w:space="0" w:color="auto"/>
              <w:left w:val="single" w:sz="4" w:space="0" w:color="auto"/>
              <w:bottom w:val="single" w:sz="4" w:space="0" w:color="auto"/>
              <w:right w:val="single" w:sz="4" w:space="0" w:color="auto"/>
            </w:tcBorders>
            <w:shd w:val="clear" w:color="auto" w:fill="365F91"/>
            <w:vAlign w:val="center"/>
            <w:hideMark/>
          </w:tcPr>
          <w:p w:rsidR="00313206" w:rsidRPr="001E324F" w:rsidRDefault="00313206">
            <w:pPr>
              <w:rPr>
                <w:rFonts w:ascii="Arial" w:hAnsi="Arial" w:cs="Arial"/>
                <w:b/>
                <w:color w:val="FFFFFF"/>
                <w:sz w:val="22"/>
                <w:szCs w:val="22"/>
              </w:rPr>
            </w:pPr>
            <w:r w:rsidRPr="001E324F">
              <w:rPr>
                <w:rFonts w:ascii="Arial" w:hAnsi="Arial" w:cs="Arial"/>
                <w:b/>
                <w:color w:val="FFFFFF"/>
                <w:sz w:val="22"/>
                <w:szCs w:val="22"/>
              </w:rPr>
              <w:t>Criteria</w:t>
            </w:r>
          </w:p>
        </w:tc>
        <w:tc>
          <w:tcPr>
            <w:tcW w:w="2602" w:type="dxa"/>
            <w:tcBorders>
              <w:top w:val="single" w:sz="4" w:space="0" w:color="auto"/>
              <w:left w:val="single" w:sz="4" w:space="0" w:color="auto"/>
              <w:bottom w:val="single" w:sz="4" w:space="0" w:color="auto"/>
              <w:right w:val="single" w:sz="4" w:space="0" w:color="auto"/>
            </w:tcBorders>
            <w:shd w:val="clear" w:color="auto" w:fill="365F91"/>
            <w:vAlign w:val="center"/>
            <w:hideMark/>
          </w:tcPr>
          <w:p w:rsidR="00313206" w:rsidRPr="001E324F" w:rsidRDefault="00313206">
            <w:pPr>
              <w:rPr>
                <w:rFonts w:ascii="Arial" w:hAnsi="Arial" w:cs="Arial"/>
                <w:b/>
                <w:color w:val="FFFFFF"/>
                <w:sz w:val="22"/>
                <w:szCs w:val="22"/>
              </w:rPr>
            </w:pPr>
            <w:r w:rsidRPr="001E324F">
              <w:rPr>
                <w:rFonts w:ascii="Arial" w:hAnsi="Arial" w:cs="Arial"/>
                <w:b/>
                <w:color w:val="FFFFFF"/>
                <w:sz w:val="22"/>
                <w:szCs w:val="22"/>
              </w:rPr>
              <w:t>Essential</w:t>
            </w:r>
          </w:p>
        </w:tc>
        <w:tc>
          <w:tcPr>
            <w:tcW w:w="2501" w:type="dxa"/>
            <w:tcBorders>
              <w:top w:val="single" w:sz="4" w:space="0" w:color="auto"/>
              <w:left w:val="single" w:sz="4" w:space="0" w:color="auto"/>
              <w:bottom w:val="single" w:sz="4" w:space="0" w:color="auto"/>
              <w:right w:val="single" w:sz="4" w:space="0" w:color="auto"/>
            </w:tcBorders>
            <w:shd w:val="clear" w:color="auto" w:fill="365F91"/>
            <w:vAlign w:val="center"/>
            <w:hideMark/>
          </w:tcPr>
          <w:p w:rsidR="00313206" w:rsidRPr="001E324F" w:rsidRDefault="00313206">
            <w:pPr>
              <w:rPr>
                <w:rFonts w:ascii="Arial" w:hAnsi="Arial" w:cs="Arial"/>
                <w:b/>
                <w:color w:val="FFFFFF"/>
                <w:sz w:val="22"/>
                <w:szCs w:val="22"/>
              </w:rPr>
            </w:pPr>
            <w:r w:rsidRPr="001E324F">
              <w:rPr>
                <w:rFonts w:ascii="Arial" w:hAnsi="Arial" w:cs="Arial"/>
                <w:b/>
                <w:color w:val="FFFFFF"/>
                <w:sz w:val="22"/>
                <w:szCs w:val="22"/>
              </w:rPr>
              <w:t>Desirable</w:t>
            </w:r>
          </w:p>
        </w:tc>
        <w:tc>
          <w:tcPr>
            <w:tcW w:w="2369" w:type="dxa"/>
            <w:tcBorders>
              <w:top w:val="single" w:sz="4" w:space="0" w:color="auto"/>
              <w:left w:val="single" w:sz="4" w:space="0" w:color="auto"/>
              <w:bottom w:val="single" w:sz="4" w:space="0" w:color="auto"/>
              <w:right w:val="single" w:sz="4" w:space="0" w:color="auto"/>
            </w:tcBorders>
            <w:shd w:val="clear" w:color="auto" w:fill="365F91"/>
            <w:vAlign w:val="center"/>
            <w:hideMark/>
          </w:tcPr>
          <w:p w:rsidR="00313206" w:rsidRPr="001E324F" w:rsidRDefault="00313206">
            <w:pPr>
              <w:rPr>
                <w:rFonts w:ascii="Arial" w:hAnsi="Arial" w:cs="Arial"/>
                <w:b/>
                <w:color w:val="FFFFFF"/>
                <w:sz w:val="22"/>
                <w:szCs w:val="22"/>
              </w:rPr>
            </w:pPr>
            <w:r w:rsidRPr="001E324F">
              <w:rPr>
                <w:rFonts w:ascii="Arial" w:hAnsi="Arial" w:cs="Arial"/>
                <w:b/>
                <w:color w:val="FFFFFF"/>
                <w:sz w:val="22"/>
                <w:szCs w:val="22"/>
              </w:rPr>
              <w:t>Assessment method</w:t>
            </w:r>
          </w:p>
        </w:tc>
      </w:tr>
      <w:tr w:rsidR="00313206" w:rsidRPr="001E324F" w:rsidTr="00313206">
        <w:trPr>
          <w:trHeight w:val="1814"/>
        </w:trPr>
        <w:tc>
          <w:tcPr>
            <w:tcW w:w="2268" w:type="dxa"/>
            <w:tcBorders>
              <w:top w:val="single" w:sz="4" w:space="0" w:color="auto"/>
              <w:left w:val="single" w:sz="4" w:space="0" w:color="auto"/>
              <w:bottom w:val="single" w:sz="4" w:space="0" w:color="auto"/>
              <w:right w:val="single" w:sz="4" w:space="0" w:color="auto"/>
            </w:tcBorders>
            <w:shd w:val="clear" w:color="auto" w:fill="FFFFFF"/>
          </w:tcPr>
          <w:p w:rsidR="00313206" w:rsidRPr="001E324F" w:rsidRDefault="00313206">
            <w:pPr>
              <w:rPr>
                <w:rFonts w:ascii="Arial" w:hAnsi="Arial" w:cs="Arial"/>
                <w:b/>
                <w:sz w:val="22"/>
                <w:szCs w:val="22"/>
              </w:rPr>
            </w:pPr>
          </w:p>
          <w:p w:rsidR="00313206" w:rsidRPr="001E324F" w:rsidRDefault="00313206">
            <w:pPr>
              <w:rPr>
                <w:rFonts w:ascii="Arial" w:hAnsi="Arial" w:cs="Arial"/>
                <w:sz w:val="22"/>
                <w:szCs w:val="22"/>
              </w:rPr>
            </w:pPr>
          </w:p>
          <w:p w:rsidR="00313206" w:rsidRPr="001E324F" w:rsidRDefault="00313206">
            <w:pPr>
              <w:rPr>
                <w:rFonts w:ascii="Arial" w:hAnsi="Arial" w:cs="Arial"/>
                <w:sz w:val="22"/>
                <w:szCs w:val="22"/>
              </w:rPr>
            </w:pPr>
            <w:r w:rsidRPr="001E324F">
              <w:rPr>
                <w:rFonts w:ascii="Arial" w:hAnsi="Arial" w:cs="Arial"/>
                <w:sz w:val="22"/>
                <w:szCs w:val="22"/>
              </w:rPr>
              <w:t>Qualifications and knowledge</w:t>
            </w:r>
          </w:p>
          <w:p w:rsidR="00313206" w:rsidRPr="001E324F" w:rsidRDefault="00313206">
            <w:pPr>
              <w:rPr>
                <w:rFonts w:ascii="Arial" w:hAnsi="Arial" w:cs="Arial"/>
                <w:sz w:val="22"/>
                <w:szCs w:val="22"/>
              </w:rPr>
            </w:pPr>
          </w:p>
          <w:p w:rsidR="00313206" w:rsidRPr="001E324F" w:rsidRDefault="00313206">
            <w:pPr>
              <w:rPr>
                <w:rFonts w:ascii="Arial" w:hAnsi="Arial" w:cs="Arial"/>
                <w:sz w:val="22"/>
                <w:szCs w:val="22"/>
              </w:rPr>
            </w:pPr>
          </w:p>
          <w:p w:rsidR="00313206" w:rsidRPr="001E324F" w:rsidRDefault="00313206">
            <w:pPr>
              <w:rPr>
                <w:rFonts w:ascii="Arial" w:hAnsi="Arial" w:cs="Arial"/>
                <w:sz w:val="22"/>
                <w:szCs w:val="22"/>
              </w:rPr>
            </w:pPr>
          </w:p>
          <w:p w:rsidR="00313206" w:rsidRPr="001E324F" w:rsidRDefault="00313206">
            <w:pPr>
              <w:rPr>
                <w:rFonts w:ascii="Arial" w:hAnsi="Arial" w:cs="Arial"/>
                <w:sz w:val="22"/>
                <w:szCs w:val="22"/>
              </w:rPr>
            </w:pPr>
          </w:p>
          <w:p w:rsidR="00313206" w:rsidRPr="001E324F" w:rsidRDefault="00313206">
            <w:pPr>
              <w:rPr>
                <w:rFonts w:ascii="Arial" w:hAnsi="Arial" w:cs="Arial"/>
                <w:sz w:val="22"/>
                <w:szCs w:val="22"/>
              </w:rPr>
            </w:pPr>
          </w:p>
          <w:p w:rsidR="00313206" w:rsidRPr="001E324F" w:rsidRDefault="00313206">
            <w:pPr>
              <w:rPr>
                <w:rFonts w:ascii="Arial" w:hAnsi="Arial" w:cs="Arial"/>
                <w:sz w:val="22"/>
                <w:szCs w:val="22"/>
              </w:rPr>
            </w:pPr>
          </w:p>
          <w:p w:rsidR="00313206" w:rsidRPr="001E324F" w:rsidRDefault="00313206">
            <w:pPr>
              <w:rPr>
                <w:rFonts w:ascii="Arial" w:hAnsi="Arial" w:cs="Arial"/>
                <w:sz w:val="22"/>
                <w:szCs w:val="22"/>
              </w:rPr>
            </w:pPr>
          </w:p>
        </w:tc>
        <w:tc>
          <w:tcPr>
            <w:tcW w:w="2602" w:type="dxa"/>
            <w:tcBorders>
              <w:top w:val="single" w:sz="4" w:space="0" w:color="auto"/>
              <w:left w:val="single" w:sz="4" w:space="0" w:color="auto"/>
              <w:bottom w:val="single" w:sz="4" w:space="0" w:color="auto"/>
              <w:right w:val="single" w:sz="4" w:space="0" w:color="auto"/>
            </w:tcBorders>
            <w:shd w:val="clear" w:color="auto" w:fill="FFFFFF"/>
          </w:tcPr>
          <w:p w:rsidR="00313206" w:rsidRPr="001E324F" w:rsidRDefault="00313206">
            <w:pPr>
              <w:spacing w:before="100" w:beforeAutospacing="1" w:after="72"/>
              <w:rPr>
                <w:rFonts w:ascii="Arial" w:hAnsi="Arial" w:cs="Arial"/>
                <w:color w:val="000000"/>
                <w:sz w:val="22"/>
                <w:szCs w:val="22"/>
              </w:rPr>
            </w:pPr>
          </w:p>
          <w:p w:rsidR="00313206" w:rsidRPr="001E324F" w:rsidRDefault="00797C01">
            <w:pPr>
              <w:spacing w:before="100" w:beforeAutospacing="1" w:after="72"/>
              <w:rPr>
                <w:rFonts w:ascii="Arial" w:hAnsi="Arial" w:cs="Arial"/>
                <w:color w:val="000000"/>
                <w:sz w:val="22"/>
                <w:szCs w:val="22"/>
              </w:rPr>
            </w:pPr>
            <w:r w:rsidRPr="00797C01">
              <w:rPr>
                <w:rFonts w:ascii="Arial" w:hAnsi="Arial" w:cs="Arial"/>
                <w:color w:val="000000"/>
                <w:sz w:val="22"/>
                <w:szCs w:val="22"/>
              </w:rPr>
              <w:t>Level 2 Numeracy and Literacy.</w:t>
            </w:r>
          </w:p>
        </w:tc>
        <w:tc>
          <w:tcPr>
            <w:tcW w:w="2501" w:type="dxa"/>
            <w:tcBorders>
              <w:top w:val="single" w:sz="4" w:space="0" w:color="auto"/>
              <w:left w:val="single" w:sz="4" w:space="0" w:color="auto"/>
              <w:bottom w:val="single" w:sz="4" w:space="0" w:color="auto"/>
              <w:right w:val="single" w:sz="4" w:space="0" w:color="auto"/>
            </w:tcBorders>
            <w:shd w:val="clear" w:color="auto" w:fill="FFFFFF"/>
          </w:tcPr>
          <w:p w:rsidR="00313206" w:rsidRPr="001E324F" w:rsidRDefault="00313206">
            <w:pPr>
              <w:spacing w:before="100" w:beforeAutospacing="1" w:after="72"/>
              <w:rPr>
                <w:rFonts w:ascii="Arial" w:hAnsi="Arial" w:cs="Arial"/>
                <w:sz w:val="22"/>
                <w:szCs w:val="22"/>
              </w:rPr>
            </w:pPr>
          </w:p>
          <w:p w:rsidR="00313206" w:rsidRPr="001E324F" w:rsidRDefault="00797C01">
            <w:pPr>
              <w:spacing w:before="100" w:beforeAutospacing="1" w:after="72"/>
              <w:rPr>
                <w:rFonts w:ascii="Arial" w:hAnsi="Arial" w:cs="Arial"/>
                <w:sz w:val="22"/>
                <w:szCs w:val="22"/>
              </w:rPr>
            </w:pPr>
            <w:r w:rsidRPr="00797C01">
              <w:rPr>
                <w:rFonts w:ascii="Arial" w:hAnsi="Arial" w:cs="Arial"/>
                <w:sz w:val="22"/>
                <w:szCs w:val="22"/>
              </w:rPr>
              <w:t>SEN issues and specific needs</w:t>
            </w:r>
          </w:p>
        </w:tc>
        <w:tc>
          <w:tcPr>
            <w:tcW w:w="2369" w:type="dxa"/>
            <w:tcBorders>
              <w:top w:val="single" w:sz="4" w:space="0" w:color="auto"/>
              <w:left w:val="single" w:sz="4" w:space="0" w:color="auto"/>
              <w:bottom w:val="single" w:sz="4" w:space="0" w:color="auto"/>
              <w:right w:val="single" w:sz="4" w:space="0" w:color="auto"/>
            </w:tcBorders>
            <w:shd w:val="clear" w:color="auto" w:fill="FFFFFF"/>
          </w:tcPr>
          <w:p w:rsidR="00313206" w:rsidRPr="001E324F" w:rsidRDefault="00313206">
            <w:pPr>
              <w:spacing w:before="100" w:beforeAutospacing="1" w:after="72"/>
              <w:rPr>
                <w:rFonts w:ascii="Arial" w:hAnsi="Arial" w:cs="Arial"/>
                <w:sz w:val="22"/>
                <w:szCs w:val="22"/>
              </w:rPr>
            </w:pPr>
          </w:p>
          <w:p w:rsidR="00313206" w:rsidRPr="001E324F" w:rsidRDefault="00313206">
            <w:pPr>
              <w:spacing w:before="100" w:beforeAutospacing="1" w:after="72"/>
              <w:rPr>
                <w:rFonts w:ascii="Arial" w:hAnsi="Arial" w:cs="Arial"/>
                <w:sz w:val="22"/>
                <w:szCs w:val="22"/>
              </w:rPr>
            </w:pPr>
            <w:r w:rsidRPr="001E324F">
              <w:rPr>
                <w:rFonts w:ascii="Arial" w:hAnsi="Arial" w:cs="Arial"/>
                <w:sz w:val="22"/>
                <w:szCs w:val="22"/>
              </w:rPr>
              <w:t>Evi</w:t>
            </w:r>
            <w:r w:rsidR="00797C01">
              <w:rPr>
                <w:rFonts w:ascii="Arial" w:hAnsi="Arial" w:cs="Arial"/>
                <w:sz w:val="22"/>
                <w:szCs w:val="22"/>
              </w:rPr>
              <w:t xml:space="preserve">dence from application form (A) interviews (I) and </w:t>
            </w:r>
            <w:r w:rsidRPr="001E324F">
              <w:rPr>
                <w:rFonts w:ascii="Arial" w:hAnsi="Arial" w:cs="Arial"/>
                <w:sz w:val="22"/>
                <w:szCs w:val="22"/>
              </w:rPr>
              <w:t>references (R)</w:t>
            </w:r>
          </w:p>
        </w:tc>
      </w:tr>
      <w:tr w:rsidR="00313206" w:rsidRPr="001E324F" w:rsidTr="00313206">
        <w:trPr>
          <w:trHeight w:val="1814"/>
        </w:trPr>
        <w:tc>
          <w:tcPr>
            <w:tcW w:w="2268" w:type="dxa"/>
            <w:tcBorders>
              <w:top w:val="single" w:sz="4" w:space="0" w:color="auto"/>
              <w:left w:val="single" w:sz="4" w:space="0" w:color="auto"/>
              <w:bottom w:val="single" w:sz="4" w:space="0" w:color="auto"/>
              <w:right w:val="single" w:sz="4" w:space="0" w:color="auto"/>
            </w:tcBorders>
            <w:shd w:val="clear" w:color="auto" w:fill="FFFFFF"/>
          </w:tcPr>
          <w:p w:rsidR="00313206" w:rsidRPr="001E324F" w:rsidRDefault="00313206">
            <w:pPr>
              <w:rPr>
                <w:rFonts w:ascii="Arial" w:hAnsi="Arial" w:cs="Arial"/>
                <w:b/>
                <w:sz w:val="22"/>
                <w:szCs w:val="22"/>
              </w:rPr>
            </w:pPr>
          </w:p>
          <w:p w:rsidR="00313206" w:rsidRPr="001E324F" w:rsidRDefault="00313206">
            <w:pPr>
              <w:rPr>
                <w:rFonts w:ascii="Arial" w:hAnsi="Arial" w:cs="Arial"/>
                <w:sz w:val="22"/>
                <w:szCs w:val="22"/>
              </w:rPr>
            </w:pPr>
          </w:p>
          <w:p w:rsidR="00313206" w:rsidRPr="001E324F" w:rsidRDefault="00313206">
            <w:pPr>
              <w:rPr>
                <w:rFonts w:ascii="Arial" w:hAnsi="Arial" w:cs="Arial"/>
                <w:sz w:val="22"/>
                <w:szCs w:val="22"/>
              </w:rPr>
            </w:pPr>
            <w:r w:rsidRPr="001E324F">
              <w:rPr>
                <w:rFonts w:ascii="Arial" w:hAnsi="Arial" w:cs="Arial"/>
                <w:sz w:val="22"/>
                <w:szCs w:val="22"/>
              </w:rPr>
              <w:t>Skills</w:t>
            </w:r>
          </w:p>
        </w:tc>
        <w:tc>
          <w:tcPr>
            <w:tcW w:w="2602" w:type="dxa"/>
            <w:tcBorders>
              <w:top w:val="single" w:sz="4" w:space="0" w:color="auto"/>
              <w:left w:val="single" w:sz="4" w:space="0" w:color="auto"/>
              <w:bottom w:val="single" w:sz="4" w:space="0" w:color="auto"/>
              <w:right w:val="single" w:sz="4" w:space="0" w:color="auto"/>
            </w:tcBorders>
            <w:shd w:val="clear" w:color="auto" w:fill="FFFFFF"/>
          </w:tcPr>
          <w:p w:rsidR="00313206" w:rsidRPr="001E324F" w:rsidRDefault="00313206">
            <w:pPr>
              <w:spacing w:before="100" w:beforeAutospacing="1" w:after="72"/>
              <w:rPr>
                <w:rFonts w:ascii="Arial" w:hAnsi="Arial" w:cs="Arial"/>
                <w:color w:val="000000"/>
                <w:sz w:val="22"/>
                <w:szCs w:val="22"/>
              </w:rPr>
            </w:pPr>
          </w:p>
          <w:p w:rsidR="00313206" w:rsidRPr="001E324F" w:rsidRDefault="00797C01">
            <w:pPr>
              <w:spacing w:before="100" w:beforeAutospacing="1" w:after="72"/>
              <w:rPr>
                <w:rFonts w:ascii="Arial" w:hAnsi="Arial" w:cs="Arial"/>
                <w:color w:val="000000"/>
                <w:sz w:val="22"/>
                <w:szCs w:val="22"/>
              </w:rPr>
            </w:pPr>
            <w:r w:rsidRPr="00797C01">
              <w:rPr>
                <w:rFonts w:ascii="Arial" w:hAnsi="Arial" w:cs="Arial"/>
                <w:color w:val="000000"/>
                <w:sz w:val="22"/>
                <w:szCs w:val="22"/>
              </w:rPr>
              <w:t>Team player. Good communication skills (both written and verbal).</w:t>
            </w:r>
          </w:p>
        </w:tc>
        <w:tc>
          <w:tcPr>
            <w:tcW w:w="2501" w:type="dxa"/>
            <w:tcBorders>
              <w:top w:val="single" w:sz="4" w:space="0" w:color="auto"/>
              <w:left w:val="single" w:sz="4" w:space="0" w:color="auto"/>
              <w:bottom w:val="single" w:sz="4" w:space="0" w:color="auto"/>
              <w:right w:val="single" w:sz="4" w:space="0" w:color="auto"/>
            </w:tcBorders>
            <w:shd w:val="clear" w:color="auto" w:fill="FFFFFF"/>
          </w:tcPr>
          <w:p w:rsidR="00313206" w:rsidRPr="001E324F" w:rsidRDefault="00313206">
            <w:pPr>
              <w:spacing w:before="100" w:beforeAutospacing="1" w:after="72"/>
              <w:rPr>
                <w:rFonts w:ascii="Arial" w:hAnsi="Arial" w:cs="Arial"/>
                <w:sz w:val="22"/>
                <w:szCs w:val="22"/>
              </w:rPr>
            </w:pPr>
          </w:p>
          <w:p w:rsidR="00797C01" w:rsidRPr="004D3CB2" w:rsidRDefault="00797C01" w:rsidP="00797C01">
            <w:pPr>
              <w:rPr>
                <w:rFonts w:asciiTheme="minorHAnsi" w:hAnsiTheme="minorHAnsi" w:cstheme="minorHAnsi"/>
              </w:rPr>
            </w:pPr>
            <w:r w:rsidRPr="004D3CB2">
              <w:rPr>
                <w:rFonts w:asciiTheme="minorHAnsi" w:hAnsiTheme="minorHAnsi" w:cstheme="minorHAnsi"/>
              </w:rPr>
              <w:t>ICT.</w:t>
            </w:r>
            <w:r w:rsidRPr="004D3CB2">
              <w:rPr>
                <w:rFonts w:asciiTheme="minorHAnsi" w:hAnsiTheme="minorHAnsi" w:cstheme="minorHAnsi"/>
              </w:rPr>
              <w:br/>
              <w:t>Counselling Skills.</w:t>
            </w:r>
          </w:p>
          <w:p w:rsidR="00313206" w:rsidRPr="001E324F" w:rsidRDefault="00313206">
            <w:pPr>
              <w:spacing w:before="100" w:beforeAutospacing="1" w:after="72"/>
              <w:rPr>
                <w:rFonts w:ascii="Arial" w:hAnsi="Arial" w:cs="Arial"/>
                <w:sz w:val="22"/>
                <w:szCs w:val="22"/>
              </w:rPr>
            </w:pPr>
          </w:p>
        </w:tc>
        <w:tc>
          <w:tcPr>
            <w:tcW w:w="2369" w:type="dxa"/>
            <w:tcBorders>
              <w:top w:val="single" w:sz="4" w:space="0" w:color="auto"/>
              <w:left w:val="single" w:sz="4" w:space="0" w:color="auto"/>
              <w:bottom w:val="single" w:sz="4" w:space="0" w:color="auto"/>
              <w:right w:val="single" w:sz="4" w:space="0" w:color="auto"/>
            </w:tcBorders>
            <w:shd w:val="clear" w:color="auto" w:fill="FFFFFF"/>
          </w:tcPr>
          <w:p w:rsidR="00313206" w:rsidRPr="001E324F" w:rsidRDefault="00313206">
            <w:pPr>
              <w:spacing w:before="100" w:beforeAutospacing="1" w:after="72"/>
              <w:rPr>
                <w:rFonts w:ascii="Arial" w:hAnsi="Arial" w:cs="Arial"/>
                <w:sz w:val="22"/>
                <w:szCs w:val="22"/>
              </w:rPr>
            </w:pPr>
          </w:p>
          <w:p w:rsidR="00313206" w:rsidRPr="001E324F" w:rsidRDefault="00313206" w:rsidP="00797C01">
            <w:pPr>
              <w:spacing w:before="100" w:beforeAutospacing="1" w:after="72"/>
              <w:rPr>
                <w:rFonts w:ascii="Arial" w:hAnsi="Arial" w:cs="Arial"/>
                <w:sz w:val="22"/>
                <w:szCs w:val="22"/>
              </w:rPr>
            </w:pPr>
            <w:r w:rsidRPr="001E324F">
              <w:rPr>
                <w:rFonts w:ascii="Arial" w:hAnsi="Arial" w:cs="Arial"/>
                <w:sz w:val="22"/>
                <w:szCs w:val="22"/>
              </w:rPr>
              <w:t xml:space="preserve">A, I, R </w:t>
            </w:r>
          </w:p>
        </w:tc>
      </w:tr>
      <w:tr w:rsidR="00313206" w:rsidRPr="001E324F" w:rsidTr="00313206">
        <w:trPr>
          <w:trHeight w:val="1814"/>
        </w:trPr>
        <w:tc>
          <w:tcPr>
            <w:tcW w:w="2268" w:type="dxa"/>
            <w:tcBorders>
              <w:top w:val="single" w:sz="4" w:space="0" w:color="auto"/>
              <w:left w:val="single" w:sz="4" w:space="0" w:color="auto"/>
              <w:bottom w:val="single" w:sz="4" w:space="0" w:color="auto"/>
              <w:right w:val="single" w:sz="4" w:space="0" w:color="auto"/>
            </w:tcBorders>
            <w:shd w:val="clear" w:color="auto" w:fill="FFFFFF"/>
          </w:tcPr>
          <w:p w:rsidR="00313206" w:rsidRPr="001E324F" w:rsidRDefault="00313206">
            <w:pPr>
              <w:rPr>
                <w:rFonts w:ascii="Arial" w:hAnsi="Arial" w:cs="Arial"/>
                <w:b/>
                <w:sz w:val="22"/>
                <w:szCs w:val="22"/>
              </w:rPr>
            </w:pPr>
          </w:p>
          <w:p w:rsidR="00313206" w:rsidRPr="001E324F" w:rsidRDefault="00313206">
            <w:pPr>
              <w:rPr>
                <w:rFonts w:ascii="Arial" w:hAnsi="Arial" w:cs="Arial"/>
                <w:b/>
                <w:sz w:val="22"/>
                <w:szCs w:val="22"/>
              </w:rPr>
            </w:pPr>
          </w:p>
          <w:p w:rsidR="00313206" w:rsidRPr="001E324F" w:rsidRDefault="00313206">
            <w:pPr>
              <w:rPr>
                <w:rFonts w:ascii="Arial" w:hAnsi="Arial" w:cs="Arial"/>
                <w:sz w:val="22"/>
                <w:szCs w:val="22"/>
              </w:rPr>
            </w:pPr>
            <w:r w:rsidRPr="001E324F">
              <w:rPr>
                <w:rFonts w:ascii="Arial" w:hAnsi="Arial" w:cs="Arial"/>
                <w:sz w:val="22"/>
                <w:szCs w:val="22"/>
              </w:rPr>
              <w:t>Experience</w:t>
            </w:r>
          </w:p>
        </w:tc>
        <w:tc>
          <w:tcPr>
            <w:tcW w:w="2602" w:type="dxa"/>
            <w:tcBorders>
              <w:top w:val="single" w:sz="4" w:space="0" w:color="auto"/>
              <w:left w:val="single" w:sz="4" w:space="0" w:color="auto"/>
              <w:bottom w:val="single" w:sz="4" w:space="0" w:color="auto"/>
              <w:right w:val="single" w:sz="4" w:space="0" w:color="auto"/>
            </w:tcBorders>
            <w:shd w:val="clear" w:color="auto" w:fill="FFFFFF"/>
          </w:tcPr>
          <w:p w:rsidR="00313206" w:rsidRPr="001E324F" w:rsidRDefault="00313206">
            <w:pPr>
              <w:spacing w:before="100" w:beforeAutospacing="1" w:after="72"/>
              <w:rPr>
                <w:rFonts w:ascii="Arial" w:hAnsi="Arial" w:cs="Arial"/>
                <w:color w:val="000000"/>
                <w:sz w:val="22"/>
                <w:szCs w:val="22"/>
              </w:rPr>
            </w:pPr>
          </w:p>
          <w:p w:rsidR="00313206" w:rsidRPr="001E324F" w:rsidRDefault="00313206" w:rsidP="00797C01">
            <w:pPr>
              <w:spacing w:before="100" w:beforeAutospacing="1" w:after="72"/>
              <w:rPr>
                <w:rFonts w:ascii="Arial" w:hAnsi="Arial" w:cs="Arial"/>
                <w:color w:val="000000"/>
                <w:sz w:val="22"/>
                <w:szCs w:val="22"/>
              </w:rPr>
            </w:pPr>
          </w:p>
        </w:tc>
        <w:tc>
          <w:tcPr>
            <w:tcW w:w="2501" w:type="dxa"/>
            <w:tcBorders>
              <w:top w:val="single" w:sz="4" w:space="0" w:color="auto"/>
              <w:left w:val="single" w:sz="4" w:space="0" w:color="auto"/>
              <w:bottom w:val="single" w:sz="4" w:space="0" w:color="auto"/>
              <w:right w:val="single" w:sz="4" w:space="0" w:color="auto"/>
            </w:tcBorders>
            <w:shd w:val="clear" w:color="auto" w:fill="FFFFFF"/>
          </w:tcPr>
          <w:p w:rsidR="00313206" w:rsidRPr="001E324F" w:rsidRDefault="00313206">
            <w:pPr>
              <w:spacing w:before="100" w:beforeAutospacing="1" w:after="72"/>
              <w:rPr>
                <w:rFonts w:ascii="Arial" w:hAnsi="Arial" w:cs="Arial"/>
                <w:sz w:val="22"/>
                <w:szCs w:val="22"/>
              </w:rPr>
            </w:pPr>
          </w:p>
          <w:p w:rsidR="00313206" w:rsidRPr="001E324F" w:rsidRDefault="00797C01">
            <w:pPr>
              <w:spacing w:before="100" w:beforeAutospacing="1" w:after="72"/>
              <w:rPr>
                <w:rFonts w:ascii="Arial" w:hAnsi="Arial" w:cs="Arial"/>
                <w:sz w:val="22"/>
                <w:szCs w:val="22"/>
              </w:rPr>
            </w:pPr>
            <w:r w:rsidRPr="00797C01">
              <w:rPr>
                <w:rFonts w:ascii="Arial" w:hAnsi="Arial" w:cs="Arial"/>
                <w:sz w:val="22"/>
                <w:szCs w:val="22"/>
              </w:rPr>
              <w:t>Previous experience of SEN students and/or Secondary education.</w:t>
            </w:r>
          </w:p>
        </w:tc>
        <w:tc>
          <w:tcPr>
            <w:tcW w:w="2369" w:type="dxa"/>
            <w:tcBorders>
              <w:top w:val="single" w:sz="4" w:space="0" w:color="auto"/>
              <w:left w:val="single" w:sz="4" w:space="0" w:color="auto"/>
              <w:bottom w:val="single" w:sz="4" w:space="0" w:color="auto"/>
              <w:right w:val="single" w:sz="4" w:space="0" w:color="auto"/>
            </w:tcBorders>
            <w:shd w:val="clear" w:color="auto" w:fill="FFFFFF"/>
          </w:tcPr>
          <w:p w:rsidR="00313206" w:rsidRPr="001E324F" w:rsidRDefault="00313206">
            <w:pPr>
              <w:spacing w:before="100" w:beforeAutospacing="1" w:after="72"/>
              <w:rPr>
                <w:rFonts w:ascii="Arial" w:hAnsi="Arial" w:cs="Arial"/>
                <w:sz w:val="22"/>
                <w:szCs w:val="22"/>
              </w:rPr>
            </w:pPr>
          </w:p>
          <w:p w:rsidR="00313206" w:rsidRPr="001E324F" w:rsidRDefault="00797C01" w:rsidP="00797C01">
            <w:pPr>
              <w:spacing w:before="100" w:beforeAutospacing="1" w:after="72"/>
              <w:rPr>
                <w:rFonts w:ascii="Arial" w:hAnsi="Arial" w:cs="Arial"/>
                <w:sz w:val="22"/>
                <w:szCs w:val="22"/>
              </w:rPr>
            </w:pPr>
            <w:r>
              <w:rPr>
                <w:rFonts w:ascii="Arial" w:hAnsi="Arial" w:cs="Arial"/>
                <w:sz w:val="22"/>
                <w:szCs w:val="22"/>
              </w:rPr>
              <w:t>A,</w:t>
            </w:r>
            <w:r w:rsidR="00313206" w:rsidRPr="001E324F">
              <w:rPr>
                <w:rFonts w:ascii="Arial" w:hAnsi="Arial" w:cs="Arial"/>
                <w:sz w:val="22"/>
                <w:szCs w:val="22"/>
              </w:rPr>
              <w:t xml:space="preserve"> R </w:t>
            </w:r>
          </w:p>
        </w:tc>
      </w:tr>
      <w:tr w:rsidR="00313206" w:rsidRPr="001E324F" w:rsidTr="00313206">
        <w:trPr>
          <w:trHeight w:val="1814"/>
        </w:trPr>
        <w:tc>
          <w:tcPr>
            <w:tcW w:w="2268" w:type="dxa"/>
            <w:tcBorders>
              <w:top w:val="single" w:sz="4" w:space="0" w:color="auto"/>
              <w:left w:val="single" w:sz="4" w:space="0" w:color="auto"/>
              <w:bottom w:val="single" w:sz="4" w:space="0" w:color="auto"/>
              <w:right w:val="single" w:sz="4" w:space="0" w:color="auto"/>
            </w:tcBorders>
            <w:shd w:val="clear" w:color="auto" w:fill="FFFFFF"/>
          </w:tcPr>
          <w:p w:rsidR="00313206" w:rsidRPr="001E324F" w:rsidRDefault="00313206">
            <w:pPr>
              <w:rPr>
                <w:rFonts w:ascii="Arial" w:hAnsi="Arial" w:cs="Arial"/>
                <w:b/>
                <w:sz w:val="22"/>
                <w:szCs w:val="22"/>
              </w:rPr>
            </w:pPr>
          </w:p>
          <w:p w:rsidR="00313206" w:rsidRPr="001E324F" w:rsidRDefault="00313206">
            <w:pPr>
              <w:rPr>
                <w:rFonts w:ascii="Arial" w:hAnsi="Arial" w:cs="Arial"/>
                <w:b/>
                <w:sz w:val="22"/>
                <w:szCs w:val="22"/>
              </w:rPr>
            </w:pPr>
          </w:p>
          <w:p w:rsidR="00313206" w:rsidRPr="001E324F" w:rsidRDefault="00313206">
            <w:pPr>
              <w:rPr>
                <w:rFonts w:ascii="Arial" w:hAnsi="Arial" w:cs="Arial"/>
                <w:sz w:val="22"/>
                <w:szCs w:val="22"/>
              </w:rPr>
            </w:pPr>
            <w:r w:rsidRPr="001E324F">
              <w:rPr>
                <w:rFonts w:ascii="Arial" w:hAnsi="Arial" w:cs="Arial"/>
                <w:sz w:val="22"/>
                <w:szCs w:val="22"/>
              </w:rPr>
              <w:t>Other requirements</w:t>
            </w:r>
          </w:p>
        </w:tc>
        <w:tc>
          <w:tcPr>
            <w:tcW w:w="2602" w:type="dxa"/>
            <w:tcBorders>
              <w:top w:val="single" w:sz="4" w:space="0" w:color="auto"/>
              <w:left w:val="single" w:sz="4" w:space="0" w:color="auto"/>
              <w:bottom w:val="single" w:sz="4" w:space="0" w:color="auto"/>
              <w:right w:val="single" w:sz="4" w:space="0" w:color="auto"/>
            </w:tcBorders>
            <w:shd w:val="clear" w:color="auto" w:fill="FFFFFF"/>
          </w:tcPr>
          <w:p w:rsidR="00313206" w:rsidRPr="001E324F" w:rsidRDefault="00313206">
            <w:pPr>
              <w:spacing w:before="100" w:beforeAutospacing="1" w:after="72"/>
              <w:rPr>
                <w:rFonts w:ascii="Arial" w:hAnsi="Arial" w:cs="Arial"/>
                <w:color w:val="000000"/>
                <w:sz w:val="22"/>
                <w:szCs w:val="22"/>
              </w:rPr>
            </w:pPr>
          </w:p>
          <w:p w:rsidR="00313206" w:rsidRDefault="00797C01" w:rsidP="00797C01">
            <w:pPr>
              <w:spacing w:before="100" w:beforeAutospacing="1" w:after="72"/>
              <w:rPr>
                <w:rFonts w:ascii="Arial" w:hAnsi="Arial" w:cs="Arial"/>
                <w:color w:val="000000"/>
                <w:sz w:val="22"/>
                <w:szCs w:val="22"/>
              </w:rPr>
            </w:pPr>
            <w:r w:rsidRPr="00797C01">
              <w:rPr>
                <w:rFonts w:ascii="Arial" w:hAnsi="Arial" w:cs="Arial"/>
                <w:color w:val="000000"/>
                <w:sz w:val="22"/>
                <w:szCs w:val="22"/>
              </w:rPr>
              <w:t>Patience and humour. Calm under pressure and adaptable. Tolerant and diplomatic.</w:t>
            </w:r>
          </w:p>
          <w:p w:rsidR="00797C01" w:rsidRPr="001E324F" w:rsidRDefault="00797C01" w:rsidP="00797C01">
            <w:pPr>
              <w:spacing w:before="100" w:beforeAutospacing="1" w:after="72"/>
              <w:rPr>
                <w:rFonts w:ascii="Arial" w:hAnsi="Arial" w:cs="Arial"/>
                <w:color w:val="000000"/>
                <w:sz w:val="22"/>
                <w:szCs w:val="22"/>
              </w:rPr>
            </w:pPr>
            <w:r>
              <w:rPr>
                <w:rFonts w:ascii="Arial" w:hAnsi="Arial" w:cs="Arial"/>
                <w:color w:val="000000"/>
                <w:sz w:val="22"/>
                <w:szCs w:val="22"/>
              </w:rPr>
              <w:t>DBS Clearance</w:t>
            </w:r>
          </w:p>
        </w:tc>
        <w:tc>
          <w:tcPr>
            <w:tcW w:w="2501" w:type="dxa"/>
            <w:tcBorders>
              <w:top w:val="single" w:sz="4" w:space="0" w:color="auto"/>
              <w:left w:val="single" w:sz="4" w:space="0" w:color="auto"/>
              <w:bottom w:val="single" w:sz="4" w:space="0" w:color="auto"/>
              <w:right w:val="single" w:sz="4" w:space="0" w:color="auto"/>
            </w:tcBorders>
            <w:shd w:val="clear" w:color="auto" w:fill="FFFFFF"/>
          </w:tcPr>
          <w:p w:rsidR="00313206" w:rsidRPr="001E324F" w:rsidRDefault="00313206">
            <w:pPr>
              <w:spacing w:before="100" w:beforeAutospacing="1" w:after="72"/>
              <w:rPr>
                <w:rFonts w:ascii="Arial" w:hAnsi="Arial" w:cs="Arial"/>
                <w:sz w:val="22"/>
                <w:szCs w:val="22"/>
              </w:rPr>
            </w:pPr>
          </w:p>
          <w:p w:rsidR="00313206" w:rsidRPr="001E324F" w:rsidRDefault="00313206">
            <w:pPr>
              <w:spacing w:before="100" w:beforeAutospacing="1" w:after="72"/>
              <w:rPr>
                <w:rFonts w:ascii="Arial" w:hAnsi="Arial" w:cs="Arial"/>
                <w:sz w:val="22"/>
                <w:szCs w:val="22"/>
              </w:rPr>
            </w:pPr>
          </w:p>
        </w:tc>
        <w:tc>
          <w:tcPr>
            <w:tcW w:w="2369" w:type="dxa"/>
            <w:tcBorders>
              <w:top w:val="single" w:sz="4" w:space="0" w:color="auto"/>
              <w:left w:val="single" w:sz="4" w:space="0" w:color="auto"/>
              <w:bottom w:val="single" w:sz="4" w:space="0" w:color="auto"/>
              <w:right w:val="single" w:sz="4" w:space="0" w:color="auto"/>
            </w:tcBorders>
            <w:shd w:val="clear" w:color="auto" w:fill="FFFFFF"/>
          </w:tcPr>
          <w:p w:rsidR="00313206" w:rsidRPr="001E324F" w:rsidRDefault="00313206">
            <w:pPr>
              <w:spacing w:before="100" w:beforeAutospacing="1" w:after="72"/>
              <w:rPr>
                <w:rFonts w:ascii="Arial" w:hAnsi="Arial" w:cs="Arial"/>
                <w:sz w:val="22"/>
                <w:szCs w:val="22"/>
              </w:rPr>
            </w:pPr>
          </w:p>
          <w:p w:rsidR="00313206" w:rsidRPr="001E324F" w:rsidRDefault="00313206" w:rsidP="00797C01">
            <w:pPr>
              <w:spacing w:before="100" w:beforeAutospacing="1" w:after="72"/>
              <w:rPr>
                <w:rFonts w:ascii="Arial" w:hAnsi="Arial" w:cs="Arial"/>
                <w:sz w:val="22"/>
                <w:szCs w:val="22"/>
              </w:rPr>
            </w:pPr>
            <w:r w:rsidRPr="001E324F">
              <w:rPr>
                <w:rFonts w:ascii="Arial" w:hAnsi="Arial" w:cs="Arial"/>
                <w:sz w:val="22"/>
                <w:szCs w:val="22"/>
              </w:rPr>
              <w:t xml:space="preserve">I, R </w:t>
            </w:r>
          </w:p>
        </w:tc>
      </w:tr>
    </w:tbl>
    <w:p w:rsidR="00313206" w:rsidRPr="001E324F" w:rsidRDefault="00313206" w:rsidP="00313206">
      <w:pPr>
        <w:pStyle w:val="Text"/>
        <w:spacing w:line="360" w:lineRule="auto"/>
      </w:pPr>
    </w:p>
    <w:sectPr w:rsidR="00313206" w:rsidRPr="001E324F" w:rsidSect="009B3A25">
      <w:pgSz w:w="11906" w:h="16838"/>
      <w:pgMar w:top="141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A4967"/>
    <w:multiLevelType w:val="hybridMultilevel"/>
    <w:tmpl w:val="2FF8BEFC"/>
    <w:lvl w:ilvl="0" w:tplc="08090001">
      <w:start w:val="1"/>
      <w:numFmt w:val="bullet"/>
      <w:lvlText w:val=""/>
      <w:lvlJc w:val="left"/>
      <w:pPr>
        <w:ind w:left="720" w:hanging="360"/>
      </w:pPr>
      <w:rPr>
        <w:rFonts w:ascii="Symbol" w:hAnsi="Symbol" w:hint="default"/>
      </w:rPr>
    </w:lvl>
    <w:lvl w:ilvl="1" w:tplc="68609A9E">
      <w:numFmt w:val="bullet"/>
      <w:lvlText w:val="•"/>
      <w:lvlJc w:val="left"/>
      <w:pPr>
        <w:ind w:left="1800" w:hanging="720"/>
      </w:pPr>
      <w:rPr>
        <w:rFonts w:ascii="Arial" w:eastAsia="MS Mincho" w:hAnsi="Arial"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0EF4C93"/>
    <w:multiLevelType w:val="hybridMultilevel"/>
    <w:tmpl w:val="D58A9A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C0472AE"/>
    <w:multiLevelType w:val="hybridMultilevel"/>
    <w:tmpl w:val="ADD43C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A6D30E5"/>
    <w:multiLevelType w:val="hybridMultilevel"/>
    <w:tmpl w:val="7DD248B4"/>
    <w:lvl w:ilvl="0" w:tplc="08090001">
      <w:start w:val="1"/>
      <w:numFmt w:val="bullet"/>
      <w:lvlText w:val=""/>
      <w:lvlJc w:val="left"/>
      <w:pPr>
        <w:ind w:left="1080" w:hanging="72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7F73B54"/>
    <w:multiLevelType w:val="hybridMultilevel"/>
    <w:tmpl w:val="85EE81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78595139"/>
    <w:multiLevelType w:val="hybridMultilevel"/>
    <w:tmpl w:val="57B88A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206"/>
    <w:rsid w:val="000E2A4D"/>
    <w:rsid w:val="00183306"/>
    <w:rsid w:val="001C3C85"/>
    <w:rsid w:val="001E324F"/>
    <w:rsid w:val="00313206"/>
    <w:rsid w:val="00404F7A"/>
    <w:rsid w:val="0061295D"/>
    <w:rsid w:val="007465EA"/>
    <w:rsid w:val="00797C01"/>
    <w:rsid w:val="009B3A25"/>
    <w:rsid w:val="00A319AB"/>
    <w:rsid w:val="00AC2FAD"/>
    <w:rsid w:val="00E572DF"/>
    <w:rsid w:val="00F01AC2"/>
    <w:rsid w:val="00F139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B5F7A7-904A-4E94-B878-48976598B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3206"/>
    <w:pPr>
      <w:spacing w:after="0" w:line="240" w:lineRule="auto"/>
    </w:pPr>
    <w:rPr>
      <w:rFonts w:ascii="Cambria" w:eastAsia="MS Mincho" w:hAnsi="Cambria" w:cs="Times New Roman"/>
      <w:sz w:val="24"/>
      <w:szCs w:val="24"/>
      <w:lang w:val="en-US"/>
    </w:rPr>
  </w:style>
  <w:style w:type="paragraph" w:styleId="Heading1">
    <w:name w:val="heading 1"/>
    <w:basedOn w:val="Normal"/>
    <w:next w:val="Normal"/>
    <w:link w:val="Heading1Char"/>
    <w:uiPriority w:val="9"/>
    <w:qFormat/>
    <w:rsid w:val="00313206"/>
    <w:pPr>
      <w:spacing w:after="200" w:line="276" w:lineRule="auto"/>
      <w:outlineLvl w:val="0"/>
    </w:pPr>
    <w:rPr>
      <w:rFonts w:ascii="Arial" w:eastAsia="Calibri" w:hAnsi="Arial" w:cs="Arial"/>
      <w:color w:val="0085CF"/>
      <w:sz w:val="36"/>
      <w:szCs w:val="3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3206"/>
    <w:rPr>
      <w:rFonts w:ascii="Arial" w:eastAsia="Calibri" w:hAnsi="Arial" w:cs="Arial"/>
      <w:color w:val="0085CF"/>
      <w:sz w:val="36"/>
      <w:szCs w:val="36"/>
    </w:rPr>
  </w:style>
  <w:style w:type="character" w:customStyle="1" w:styleId="TextChar">
    <w:name w:val="Text Char"/>
    <w:link w:val="Text"/>
    <w:locked/>
    <w:rsid w:val="00313206"/>
    <w:rPr>
      <w:rFonts w:ascii="Arial" w:hAnsi="Arial" w:cs="Arial"/>
      <w:lang w:val="en-US"/>
    </w:rPr>
  </w:style>
  <w:style w:type="paragraph" w:customStyle="1" w:styleId="Text">
    <w:name w:val="Text"/>
    <w:basedOn w:val="BodyText"/>
    <w:link w:val="TextChar"/>
    <w:qFormat/>
    <w:rsid w:val="00313206"/>
    <w:rPr>
      <w:rFonts w:ascii="Arial" w:eastAsiaTheme="minorHAnsi" w:hAnsi="Arial" w:cs="Arial"/>
      <w:sz w:val="22"/>
      <w:szCs w:val="22"/>
    </w:rPr>
  </w:style>
  <w:style w:type="character" w:customStyle="1" w:styleId="HeadingChar">
    <w:name w:val="Heading Char"/>
    <w:link w:val="Heading"/>
    <w:locked/>
    <w:rsid w:val="009B3A25"/>
    <w:rPr>
      <w:rFonts w:ascii="Arial" w:hAnsi="Arial" w:cs="Arial"/>
      <w:b/>
      <w:sz w:val="24"/>
      <w:szCs w:val="24"/>
      <w:lang w:val="en-US"/>
    </w:rPr>
  </w:style>
  <w:style w:type="paragraph" w:customStyle="1" w:styleId="Heading">
    <w:name w:val="Heading"/>
    <w:basedOn w:val="BodyText"/>
    <w:link w:val="HeadingChar"/>
    <w:autoRedefine/>
    <w:qFormat/>
    <w:rsid w:val="009B3A25"/>
    <w:pPr>
      <w:spacing w:line="360" w:lineRule="auto"/>
    </w:pPr>
    <w:rPr>
      <w:rFonts w:ascii="Arial" w:eastAsiaTheme="minorHAnsi" w:hAnsi="Arial" w:cs="Arial"/>
      <w:b/>
    </w:rPr>
  </w:style>
  <w:style w:type="character" w:customStyle="1" w:styleId="Sub-headingChar">
    <w:name w:val="Sub-heading Char"/>
    <w:link w:val="Sub-heading"/>
    <w:locked/>
    <w:rsid w:val="00313206"/>
    <w:rPr>
      <w:rFonts w:ascii="Arial" w:hAnsi="Arial" w:cs="Arial"/>
      <w:b/>
      <w:lang w:val="en-US"/>
    </w:rPr>
  </w:style>
  <w:style w:type="paragraph" w:customStyle="1" w:styleId="Sub-heading">
    <w:name w:val="Sub-heading"/>
    <w:basedOn w:val="BodyText"/>
    <w:link w:val="Sub-headingChar"/>
    <w:qFormat/>
    <w:rsid w:val="00313206"/>
    <w:rPr>
      <w:rFonts w:ascii="Arial" w:eastAsiaTheme="minorHAnsi" w:hAnsi="Arial" w:cs="Arial"/>
      <w:b/>
      <w:sz w:val="22"/>
      <w:szCs w:val="22"/>
    </w:rPr>
  </w:style>
  <w:style w:type="character" w:customStyle="1" w:styleId="apple-converted-space">
    <w:name w:val="apple-converted-space"/>
    <w:rsid w:val="00313206"/>
  </w:style>
  <w:style w:type="character" w:styleId="Emphasis">
    <w:name w:val="Emphasis"/>
    <w:basedOn w:val="DefaultParagraphFont"/>
    <w:uiPriority w:val="20"/>
    <w:qFormat/>
    <w:rsid w:val="00313206"/>
    <w:rPr>
      <w:i/>
      <w:iCs/>
    </w:rPr>
  </w:style>
  <w:style w:type="paragraph" w:styleId="BodyText">
    <w:name w:val="Body Text"/>
    <w:basedOn w:val="Normal"/>
    <w:link w:val="BodyTextChar"/>
    <w:uiPriority w:val="99"/>
    <w:semiHidden/>
    <w:unhideWhenUsed/>
    <w:rsid w:val="00313206"/>
    <w:pPr>
      <w:spacing w:after="120"/>
    </w:pPr>
  </w:style>
  <w:style w:type="character" w:customStyle="1" w:styleId="BodyTextChar">
    <w:name w:val="Body Text Char"/>
    <w:basedOn w:val="DefaultParagraphFont"/>
    <w:link w:val="BodyText"/>
    <w:uiPriority w:val="99"/>
    <w:semiHidden/>
    <w:rsid w:val="00313206"/>
    <w:rPr>
      <w:rFonts w:ascii="Cambria" w:eastAsia="MS Mincho" w:hAnsi="Cambri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2415364">
      <w:bodyDiv w:val="1"/>
      <w:marLeft w:val="0"/>
      <w:marRight w:val="0"/>
      <w:marTop w:val="0"/>
      <w:marBottom w:val="0"/>
      <w:divBdr>
        <w:top w:val="none" w:sz="0" w:space="0" w:color="auto"/>
        <w:left w:val="none" w:sz="0" w:space="0" w:color="auto"/>
        <w:bottom w:val="none" w:sz="0" w:space="0" w:color="auto"/>
        <w:right w:val="none" w:sz="0" w:space="0" w:color="auto"/>
      </w:divBdr>
    </w:div>
    <w:div w:id="1850214570">
      <w:bodyDiv w:val="1"/>
      <w:marLeft w:val="0"/>
      <w:marRight w:val="0"/>
      <w:marTop w:val="0"/>
      <w:marBottom w:val="0"/>
      <w:divBdr>
        <w:top w:val="none" w:sz="0" w:space="0" w:color="auto"/>
        <w:left w:val="none" w:sz="0" w:space="0" w:color="auto"/>
        <w:bottom w:val="none" w:sz="0" w:space="0" w:color="auto"/>
        <w:right w:val="none" w:sz="0" w:space="0" w:color="auto"/>
      </w:divBdr>
    </w:div>
    <w:div w:id="204086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586F5CFE</Template>
  <TotalTime>12</TotalTime>
  <Pages>3</Pages>
  <Words>586</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3925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H Parsonage</dc:creator>
  <cp:keywords/>
  <dc:description/>
  <cp:lastModifiedBy>Mrs H Parsonage</cp:lastModifiedBy>
  <cp:revision>5</cp:revision>
  <dcterms:created xsi:type="dcterms:W3CDTF">2019-05-03T13:25:00Z</dcterms:created>
  <dcterms:modified xsi:type="dcterms:W3CDTF">2019-11-12T12:18:00Z</dcterms:modified>
</cp:coreProperties>
</file>