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4DB291F5">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4DB291F5">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0E3F3041" w:rsidR="00E800FE" w:rsidRDefault="00506804">
            <w:pPr>
              <w:pStyle w:val="TableParagraph"/>
              <w:spacing w:before="203"/>
              <w:ind w:left="117"/>
            </w:pPr>
            <w:r>
              <w:t>Teaching Assistant Level 1</w:t>
            </w:r>
          </w:p>
        </w:tc>
      </w:tr>
      <w:tr w:rsidR="00E800FE" w14:paraId="100D00D8" w14:textId="77777777" w:rsidTr="4DB291F5">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4DB291F5">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577F6C5D" w:rsidR="00E800FE" w:rsidRDefault="00506804">
            <w:pPr>
              <w:pStyle w:val="TableParagraph"/>
              <w:spacing w:before="98"/>
              <w:ind w:left="117" w:right="487"/>
            </w:pPr>
            <w:r>
              <w:t xml:space="preserve">Occupational pension scheme, occupational sickness scheme, TOIL </w:t>
            </w:r>
            <w:r w:rsidR="00797062">
              <w:t>/ Health benefit scheme</w:t>
            </w:r>
          </w:p>
        </w:tc>
      </w:tr>
      <w:tr w:rsidR="00E800FE" w14:paraId="65122DAD" w14:textId="77777777" w:rsidTr="4DB291F5">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4B87C3E" w14:textId="77777777" w:rsidR="00D47C1E" w:rsidRDefault="00D47C1E">
            <w:pPr>
              <w:pStyle w:val="TableParagraph"/>
              <w:ind w:left="117" w:right="2493"/>
            </w:pPr>
          </w:p>
          <w:p w14:paraId="6FF450C8" w14:textId="3AD0BB91" w:rsidR="00E800FE" w:rsidRDefault="62ECC788">
            <w:pPr>
              <w:pStyle w:val="TableParagraph"/>
              <w:ind w:left="117" w:right="2493"/>
            </w:pPr>
            <w:r>
              <w:t xml:space="preserve">34 hours per week </w:t>
            </w:r>
          </w:p>
          <w:p w14:paraId="0ACBF442" w14:textId="77777777" w:rsidR="00E800FE" w:rsidRDefault="00E800FE">
            <w:pPr>
              <w:pStyle w:val="TableParagraph"/>
              <w:spacing w:before="1"/>
              <w:rPr>
                <w:rFonts w:ascii="Times New Roman"/>
                <w:b/>
              </w:rPr>
            </w:pPr>
          </w:p>
          <w:p w14:paraId="4D663528" w14:textId="47F1AD61" w:rsidR="00E800FE" w:rsidRDefault="00506804">
            <w:pPr>
              <w:pStyle w:val="TableParagraph"/>
              <w:ind w:left="117"/>
            </w:pPr>
            <w:r>
              <w:t>Term time only (19</w:t>
            </w:r>
            <w:r w:rsidR="00D47C1E">
              <w:t>5</w:t>
            </w:r>
            <w:r>
              <w:t xml:space="preserve"> days)</w:t>
            </w:r>
          </w:p>
        </w:tc>
      </w:tr>
      <w:tr w:rsidR="00E800FE" w14:paraId="6C871C61" w14:textId="77777777" w:rsidTr="4DB291F5">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E6FD968" w14:textId="77777777" w:rsidR="00E800FE" w:rsidRDefault="00E800FE">
            <w:pPr>
              <w:pStyle w:val="TableParagraph"/>
              <w:spacing w:before="10"/>
              <w:rPr>
                <w:rFonts w:ascii="Times New Roman"/>
                <w:b/>
                <w:sz w:val="21"/>
              </w:rPr>
            </w:pPr>
          </w:p>
          <w:p w14:paraId="33F43B41" w14:textId="157E6DBB" w:rsidR="00E800FE" w:rsidRDefault="00506804">
            <w:pPr>
              <w:pStyle w:val="TableParagraph"/>
              <w:ind w:left="117"/>
            </w:pPr>
            <w:r>
              <w:t xml:space="preserve">Based at New Bridge </w:t>
            </w:r>
            <w:r w:rsidR="00D47C1E">
              <w:t>Learning Centre</w:t>
            </w:r>
            <w:r>
              <w:t>.</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4DB291F5">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4DB291F5">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4DB291F5">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57F22CC5" w:rsidR="00E800FE" w:rsidRDefault="00506804">
            <w:pPr>
              <w:pStyle w:val="TableParagraph"/>
              <w:ind w:left="117"/>
            </w:pPr>
            <w:r>
              <w:t xml:space="preserve">26 </w:t>
            </w:r>
            <w:r w:rsidR="005604A0">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0F774"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156228AE" w:rsidR="00E800FE" w:rsidRDefault="00506804">
      <w:pPr>
        <w:pStyle w:val="ListParagraph"/>
        <w:numPr>
          <w:ilvl w:val="0"/>
          <w:numId w:val="3"/>
        </w:numPr>
        <w:tabs>
          <w:tab w:val="left" w:pos="864"/>
        </w:tabs>
        <w:ind w:right="2383"/>
      </w:pPr>
      <w:r>
        <w:t xml:space="preserve">Support the teacher in managing </w:t>
      </w:r>
      <w:r w:rsidR="00260DEF">
        <w:t>student</w:t>
      </w:r>
      <w:r>
        <w:t xml:space="preserve"> </w:t>
      </w:r>
      <w:proofErr w:type="spellStart"/>
      <w:r>
        <w:t>behaviour</w:t>
      </w:r>
      <w:proofErr w:type="spellEnd"/>
      <w:r>
        <w:t>, reporting difficulties as appropriate.</w:t>
      </w:r>
    </w:p>
    <w:p w14:paraId="3D99DFD3" w14:textId="54CCF581" w:rsidR="00E800FE" w:rsidRDefault="00506804">
      <w:pPr>
        <w:pStyle w:val="ListParagraph"/>
        <w:numPr>
          <w:ilvl w:val="0"/>
          <w:numId w:val="3"/>
        </w:numPr>
        <w:tabs>
          <w:tab w:val="left" w:pos="864"/>
        </w:tabs>
        <w:spacing w:before="1" w:line="252" w:lineRule="exact"/>
        <w:ind w:hanging="361"/>
      </w:pPr>
      <w:r>
        <w:t xml:space="preserve">Support </w:t>
      </w:r>
      <w:r w:rsidR="00260DEF">
        <w:t>student</w:t>
      </w:r>
      <w:r>
        <w:t>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6D34E12A" w:rsidR="00E800FE" w:rsidRDefault="00506804">
      <w:pPr>
        <w:pStyle w:val="ListParagraph"/>
        <w:numPr>
          <w:ilvl w:val="0"/>
          <w:numId w:val="3"/>
        </w:numPr>
        <w:tabs>
          <w:tab w:val="left" w:pos="864"/>
        </w:tabs>
        <w:spacing w:before="1"/>
        <w:ind w:right="1806"/>
      </w:pPr>
      <w:r>
        <w:t xml:space="preserve">Support </w:t>
      </w:r>
      <w:r w:rsidR="00260DEF">
        <w:t>student</w:t>
      </w:r>
      <w:r>
        <w:t>s in respect of local and national learning strategies e.g. KS3 and 4.</w:t>
      </w:r>
    </w:p>
    <w:p w14:paraId="09F0A00F" w14:textId="34044446" w:rsidR="00E800FE" w:rsidRDefault="00506804">
      <w:pPr>
        <w:pStyle w:val="ListParagraph"/>
        <w:numPr>
          <w:ilvl w:val="0"/>
          <w:numId w:val="3"/>
        </w:numPr>
        <w:tabs>
          <w:tab w:val="left" w:pos="864"/>
        </w:tabs>
        <w:ind w:right="1972"/>
      </w:pPr>
      <w:r>
        <w:t xml:space="preserve">Be aware of </w:t>
      </w:r>
      <w:r w:rsidR="00260DEF">
        <w:t>student</w:t>
      </w:r>
      <w:r>
        <w:t xml:space="preserve"> problems/progress/achievements and report to the teacher as</w:t>
      </w:r>
      <w:r>
        <w:rPr>
          <w:spacing w:val="-1"/>
        </w:rPr>
        <w:t xml:space="preserve"> </w:t>
      </w:r>
      <w:r>
        <w:t>agreed.</w:t>
      </w:r>
    </w:p>
    <w:p w14:paraId="6F39255B" w14:textId="5FA0696C" w:rsidR="00E800FE" w:rsidRDefault="00506804">
      <w:pPr>
        <w:pStyle w:val="ListParagraph"/>
        <w:numPr>
          <w:ilvl w:val="0"/>
          <w:numId w:val="3"/>
        </w:numPr>
        <w:tabs>
          <w:tab w:val="left" w:pos="864"/>
        </w:tabs>
        <w:ind w:hanging="361"/>
      </w:pPr>
      <w:r>
        <w:t xml:space="preserve">Undertake </w:t>
      </w:r>
      <w:r w:rsidR="00260DEF">
        <w:t>student</w:t>
      </w:r>
      <w:r>
        <w:t xml:space="preserve">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1EBF7130" w:rsidR="00E800FE" w:rsidRDefault="00506804">
      <w:pPr>
        <w:pStyle w:val="ListParagraph"/>
        <w:numPr>
          <w:ilvl w:val="0"/>
          <w:numId w:val="3"/>
        </w:numPr>
        <w:tabs>
          <w:tab w:val="left" w:pos="864"/>
        </w:tabs>
        <w:spacing w:line="252" w:lineRule="exact"/>
        <w:ind w:hanging="361"/>
      </w:pPr>
      <w:r>
        <w:t xml:space="preserve">Assist with the display of </w:t>
      </w:r>
      <w:r w:rsidR="00260DEF">
        <w:t>student</w:t>
      </w:r>
      <w:r>
        <w:t>s’</w:t>
      </w:r>
      <w:r>
        <w:rPr>
          <w:spacing w:val="-2"/>
        </w:rPr>
        <w:t xml:space="preserve"> </w:t>
      </w:r>
      <w:r>
        <w:t>work</w:t>
      </w:r>
    </w:p>
    <w:p w14:paraId="79BFD42E" w14:textId="302C421A" w:rsidR="00E800FE" w:rsidRDefault="00506804">
      <w:pPr>
        <w:pStyle w:val="ListParagraph"/>
        <w:numPr>
          <w:ilvl w:val="0"/>
          <w:numId w:val="3"/>
        </w:numPr>
        <w:tabs>
          <w:tab w:val="left" w:pos="864"/>
        </w:tabs>
        <w:ind w:right="2199"/>
      </w:pPr>
      <w:r>
        <w:t xml:space="preserve">Prepare and maintain equipment/resources as directed by the teacher and assist </w:t>
      </w:r>
      <w:r w:rsidR="00260DEF">
        <w:t>student</w:t>
      </w:r>
      <w:r>
        <w:t>s in their</w:t>
      </w:r>
      <w:r>
        <w:rPr>
          <w:spacing w:val="-1"/>
        </w:rPr>
        <w:t xml:space="preserve"> </w:t>
      </w:r>
      <w:r>
        <w:t>use.</w:t>
      </w:r>
    </w:p>
    <w:p w14:paraId="4F3BF1D4" w14:textId="00F5082C" w:rsidR="00E800FE" w:rsidRDefault="00506804">
      <w:pPr>
        <w:pStyle w:val="ListParagraph"/>
        <w:numPr>
          <w:ilvl w:val="0"/>
          <w:numId w:val="3"/>
        </w:numPr>
        <w:tabs>
          <w:tab w:val="left" w:pos="864"/>
        </w:tabs>
        <w:spacing w:before="1"/>
        <w:ind w:right="1724"/>
      </w:pPr>
      <w:r>
        <w:t xml:space="preserve">Provide routine clerical support for teachers </w:t>
      </w:r>
      <w:r w:rsidR="00D47C1E">
        <w:t>e.g.,</w:t>
      </w:r>
      <w:r>
        <w:t xml:space="preserve">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Pr="00260DEF" w:rsidRDefault="00E800FE">
            <w:pPr>
              <w:pStyle w:val="TableParagraph"/>
              <w:rPr>
                <w:rFonts w:ascii="Times New Roman"/>
                <w:sz w:val="20"/>
                <w:highlight w:val="yellow"/>
              </w:rPr>
            </w:pPr>
          </w:p>
        </w:tc>
        <w:tc>
          <w:tcPr>
            <w:tcW w:w="2009" w:type="dxa"/>
          </w:tcPr>
          <w:p w14:paraId="0EEF026C" w14:textId="77777777" w:rsidR="00E800FE" w:rsidRPr="00260DEF" w:rsidRDefault="00506804">
            <w:pPr>
              <w:pStyle w:val="TableParagraph"/>
              <w:spacing w:before="21" w:line="251" w:lineRule="exact"/>
              <w:ind w:left="555" w:right="544"/>
              <w:jc w:val="center"/>
              <w:rPr>
                <w:highlight w:val="yellow"/>
              </w:rPr>
            </w:pPr>
            <w:r w:rsidRPr="00260DEF">
              <w:rPr>
                <w:highlight w:val="yellow"/>
              </w:rPr>
              <w:t>DATE</w:t>
            </w:r>
          </w:p>
        </w:tc>
        <w:tc>
          <w:tcPr>
            <w:tcW w:w="2014" w:type="dxa"/>
          </w:tcPr>
          <w:p w14:paraId="023CA435" w14:textId="77777777" w:rsidR="00E800FE" w:rsidRPr="00260DEF" w:rsidRDefault="00506804">
            <w:pPr>
              <w:pStyle w:val="TableParagraph"/>
              <w:spacing w:before="21" w:line="251" w:lineRule="exact"/>
              <w:ind w:left="484" w:right="476"/>
              <w:jc w:val="center"/>
              <w:rPr>
                <w:highlight w:val="yellow"/>
              </w:rPr>
            </w:pPr>
            <w:r w:rsidRPr="00260DEF">
              <w:rPr>
                <w:highlight w:val="yellow"/>
              </w:rPr>
              <w:t>NAME</w:t>
            </w:r>
          </w:p>
        </w:tc>
        <w:tc>
          <w:tcPr>
            <w:tcW w:w="3980" w:type="dxa"/>
          </w:tcPr>
          <w:p w14:paraId="6B7436DB" w14:textId="77777777" w:rsidR="00E800FE" w:rsidRPr="00260DEF" w:rsidRDefault="00506804">
            <w:pPr>
              <w:pStyle w:val="TableParagraph"/>
              <w:spacing w:before="21" w:line="251" w:lineRule="exact"/>
              <w:ind w:left="373" w:right="362"/>
              <w:jc w:val="center"/>
              <w:rPr>
                <w:highlight w:val="yellow"/>
              </w:rPr>
            </w:pPr>
            <w:r w:rsidRPr="00260DEF">
              <w:rPr>
                <w:highlight w:val="yellow"/>
              </w:rPr>
              <w:t>POST TITLE</w:t>
            </w:r>
          </w:p>
        </w:tc>
      </w:tr>
      <w:tr w:rsidR="00E800FE" w14:paraId="0349E4CD" w14:textId="77777777">
        <w:trPr>
          <w:trHeight w:val="506"/>
        </w:trPr>
        <w:tc>
          <w:tcPr>
            <w:tcW w:w="2066" w:type="dxa"/>
          </w:tcPr>
          <w:p w14:paraId="379BE66F" w14:textId="77777777" w:rsidR="00E800FE" w:rsidRPr="00260DEF" w:rsidRDefault="00506804">
            <w:pPr>
              <w:pStyle w:val="TableParagraph"/>
              <w:ind w:left="107"/>
              <w:rPr>
                <w:highlight w:val="yellow"/>
              </w:rPr>
            </w:pPr>
            <w:r w:rsidRPr="00260DEF">
              <w:rPr>
                <w:highlight w:val="yellow"/>
              </w:rPr>
              <w:t>PREPARED</w:t>
            </w:r>
          </w:p>
        </w:tc>
        <w:tc>
          <w:tcPr>
            <w:tcW w:w="2009" w:type="dxa"/>
          </w:tcPr>
          <w:p w14:paraId="72E4127A" w14:textId="77777777" w:rsidR="00E800FE" w:rsidRPr="00260DEF" w:rsidRDefault="00506804">
            <w:pPr>
              <w:pStyle w:val="TableParagraph"/>
              <w:ind w:left="558" w:right="544"/>
              <w:jc w:val="center"/>
              <w:rPr>
                <w:highlight w:val="yellow"/>
              </w:rPr>
            </w:pPr>
            <w:r w:rsidRPr="00260DEF">
              <w:rPr>
                <w:highlight w:val="yellow"/>
              </w:rPr>
              <w:t>20/02/17</w:t>
            </w:r>
          </w:p>
        </w:tc>
        <w:tc>
          <w:tcPr>
            <w:tcW w:w="2014" w:type="dxa"/>
          </w:tcPr>
          <w:p w14:paraId="32A5D093" w14:textId="77777777" w:rsidR="00E800FE" w:rsidRPr="00260DEF" w:rsidRDefault="00506804">
            <w:pPr>
              <w:pStyle w:val="TableParagraph"/>
              <w:ind w:left="485" w:right="474"/>
              <w:jc w:val="center"/>
              <w:rPr>
                <w:highlight w:val="yellow"/>
              </w:rPr>
            </w:pPr>
            <w:r w:rsidRPr="00260DEF">
              <w:rPr>
                <w:highlight w:val="yellow"/>
              </w:rPr>
              <w:t>SSH/SSM</w:t>
            </w:r>
          </w:p>
        </w:tc>
        <w:tc>
          <w:tcPr>
            <w:tcW w:w="3980" w:type="dxa"/>
          </w:tcPr>
          <w:p w14:paraId="1E3F73CB" w14:textId="77777777" w:rsidR="00E800FE" w:rsidRPr="00260DEF" w:rsidRDefault="00506804">
            <w:pPr>
              <w:pStyle w:val="TableParagraph"/>
              <w:ind w:left="373" w:right="364"/>
              <w:jc w:val="center"/>
              <w:rPr>
                <w:highlight w:val="yellow"/>
              </w:rPr>
            </w:pPr>
            <w:r w:rsidRPr="00260DEF">
              <w:rPr>
                <w:highlight w:val="yellow"/>
              </w:rPr>
              <w:t>HR Managers</w:t>
            </w:r>
          </w:p>
        </w:tc>
      </w:tr>
      <w:tr w:rsidR="00E800FE" w14:paraId="006FF8FD" w14:textId="77777777">
        <w:trPr>
          <w:trHeight w:val="506"/>
        </w:trPr>
        <w:tc>
          <w:tcPr>
            <w:tcW w:w="2066" w:type="dxa"/>
          </w:tcPr>
          <w:p w14:paraId="44DB4CD6" w14:textId="77777777" w:rsidR="00E800FE" w:rsidRPr="00260DEF" w:rsidRDefault="00506804">
            <w:pPr>
              <w:pStyle w:val="TableParagraph"/>
              <w:ind w:left="107"/>
              <w:rPr>
                <w:highlight w:val="yellow"/>
              </w:rPr>
            </w:pPr>
            <w:r w:rsidRPr="00260DEF">
              <w:rPr>
                <w:highlight w:val="yellow"/>
              </w:rPr>
              <w:t>REVIEWED</w:t>
            </w:r>
          </w:p>
        </w:tc>
        <w:tc>
          <w:tcPr>
            <w:tcW w:w="2009" w:type="dxa"/>
          </w:tcPr>
          <w:p w14:paraId="2C1F88B6" w14:textId="77777777" w:rsidR="00E800FE" w:rsidRPr="00260DEF" w:rsidRDefault="00506804">
            <w:pPr>
              <w:pStyle w:val="TableParagraph"/>
              <w:ind w:left="558" w:right="544"/>
              <w:jc w:val="center"/>
              <w:rPr>
                <w:highlight w:val="yellow"/>
              </w:rPr>
            </w:pPr>
            <w:r w:rsidRPr="00260DEF">
              <w:rPr>
                <w:highlight w:val="yellow"/>
              </w:rPr>
              <w:t>27/06/18</w:t>
            </w:r>
          </w:p>
        </w:tc>
        <w:tc>
          <w:tcPr>
            <w:tcW w:w="2014" w:type="dxa"/>
          </w:tcPr>
          <w:p w14:paraId="50CC65DD" w14:textId="77777777" w:rsidR="00E800FE" w:rsidRPr="00260DEF" w:rsidRDefault="00506804">
            <w:pPr>
              <w:pStyle w:val="TableParagraph"/>
              <w:ind w:left="484" w:right="476"/>
              <w:jc w:val="center"/>
              <w:rPr>
                <w:highlight w:val="yellow"/>
              </w:rPr>
            </w:pPr>
            <w:r w:rsidRPr="00260DEF">
              <w:rPr>
                <w:highlight w:val="yellow"/>
              </w:rPr>
              <w:t>SSH</w:t>
            </w:r>
          </w:p>
        </w:tc>
        <w:tc>
          <w:tcPr>
            <w:tcW w:w="3980" w:type="dxa"/>
          </w:tcPr>
          <w:p w14:paraId="4C6CAE85" w14:textId="77777777" w:rsidR="00E800FE" w:rsidRPr="00260DEF" w:rsidRDefault="00506804">
            <w:pPr>
              <w:pStyle w:val="TableParagraph"/>
              <w:ind w:left="372" w:right="365"/>
              <w:jc w:val="center"/>
              <w:rPr>
                <w:highlight w:val="yellow"/>
              </w:rPr>
            </w:pPr>
            <w:r w:rsidRPr="00260DEF">
              <w:rPr>
                <w:highlight w:val="yellow"/>
              </w:rPr>
              <w:t>Director of HR</w:t>
            </w:r>
          </w:p>
        </w:tc>
      </w:tr>
      <w:tr w:rsidR="00E800FE" w14:paraId="4F64E0C3" w14:textId="77777777">
        <w:trPr>
          <w:trHeight w:val="505"/>
        </w:trPr>
        <w:tc>
          <w:tcPr>
            <w:tcW w:w="2066" w:type="dxa"/>
          </w:tcPr>
          <w:p w14:paraId="62AFBF20" w14:textId="77777777" w:rsidR="00E800FE" w:rsidRPr="00260DEF" w:rsidRDefault="00506804">
            <w:pPr>
              <w:pStyle w:val="TableParagraph"/>
              <w:ind w:left="107"/>
              <w:rPr>
                <w:highlight w:val="yellow"/>
              </w:rPr>
            </w:pPr>
            <w:r w:rsidRPr="00260DEF">
              <w:rPr>
                <w:highlight w:val="yellow"/>
              </w:rPr>
              <w:t>REVIEWED</w:t>
            </w:r>
          </w:p>
        </w:tc>
        <w:tc>
          <w:tcPr>
            <w:tcW w:w="2009" w:type="dxa"/>
          </w:tcPr>
          <w:p w14:paraId="0B4417D4" w14:textId="77777777" w:rsidR="00E800FE" w:rsidRPr="00260DEF" w:rsidRDefault="00506804">
            <w:pPr>
              <w:pStyle w:val="TableParagraph"/>
              <w:ind w:left="555" w:right="544"/>
              <w:jc w:val="center"/>
              <w:rPr>
                <w:highlight w:val="yellow"/>
              </w:rPr>
            </w:pPr>
            <w:r w:rsidRPr="00260DEF">
              <w:rPr>
                <w:highlight w:val="yellow"/>
              </w:rPr>
              <w:t>23/7/19</w:t>
            </w:r>
          </w:p>
        </w:tc>
        <w:tc>
          <w:tcPr>
            <w:tcW w:w="2014" w:type="dxa"/>
          </w:tcPr>
          <w:p w14:paraId="4E52DFDB" w14:textId="77777777" w:rsidR="00E800FE" w:rsidRPr="00260DEF" w:rsidRDefault="00506804">
            <w:pPr>
              <w:pStyle w:val="TableParagraph"/>
              <w:ind w:left="485" w:right="476"/>
              <w:jc w:val="center"/>
              <w:rPr>
                <w:highlight w:val="yellow"/>
              </w:rPr>
            </w:pPr>
            <w:r w:rsidRPr="00260DEF">
              <w:rPr>
                <w:highlight w:val="yellow"/>
              </w:rPr>
              <w:t>LMD/SSM</w:t>
            </w:r>
          </w:p>
        </w:tc>
        <w:tc>
          <w:tcPr>
            <w:tcW w:w="3980" w:type="dxa"/>
          </w:tcPr>
          <w:p w14:paraId="5C62A51B" w14:textId="77777777" w:rsidR="00E800FE" w:rsidRPr="00260DEF" w:rsidRDefault="00506804">
            <w:pPr>
              <w:pStyle w:val="TableParagraph"/>
              <w:ind w:left="373" w:right="365"/>
              <w:jc w:val="center"/>
              <w:rPr>
                <w:highlight w:val="yellow"/>
              </w:rPr>
            </w:pPr>
            <w:r w:rsidRPr="00260DEF">
              <w:rPr>
                <w:highlight w:val="yellow"/>
              </w:rPr>
              <w:t>Acting Head of Site/HR Manager</w:t>
            </w:r>
          </w:p>
        </w:tc>
      </w:tr>
      <w:tr w:rsidR="00E800FE" w14:paraId="2419DD0E" w14:textId="77777777">
        <w:trPr>
          <w:trHeight w:val="506"/>
        </w:trPr>
        <w:tc>
          <w:tcPr>
            <w:tcW w:w="2066" w:type="dxa"/>
          </w:tcPr>
          <w:p w14:paraId="6C0F7E84" w14:textId="77777777" w:rsidR="00E800FE" w:rsidRPr="00260DEF" w:rsidRDefault="00506804">
            <w:pPr>
              <w:pStyle w:val="TableParagraph"/>
              <w:ind w:left="107"/>
              <w:rPr>
                <w:highlight w:val="yellow"/>
              </w:rPr>
            </w:pPr>
            <w:r w:rsidRPr="00260DEF">
              <w:rPr>
                <w:highlight w:val="yellow"/>
              </w:rPr>
              <w:t>REVIEWED</w:t>
            </w:r>
          </w:p>
        </w:tc>
        <w:tc>
          <w:tcPr>
            <w:tcW w:w="2009" w:type="dxa"/>
          </w:tcPr>
          <w:p w14:paraId="29757A73" w14:textId="77777777" w:rsidR="00E800FE" w:rsidRPr="00260DEF" w:rsidRDefault="00506804">
            <w:pPr>
              <w:pStyle w:val="TableParagraph"/>
              <w:ind w:left="558" w:right="544"/>
              <w:jc w:val="center"/>
              <w:rPr>
                <w:highlight w:val="yellow"/>
              </w:rPr>
            </w:pPr>
            <w:r w:rsidRPr="00260DEF">
              <w:rPr>
                <w:highlight w:val="yellow"/>
              </w:rPr>
              <w:t>7/1/20</w:t>
            </w:r>
          </w:p>
        </w:tc>
        <w:tc>
          <w:tcPr>
            <w:tcW w:w="2014" w:type="dxa"/>
          </w:tcPr>
          <w:p w14:paraId="1AE76838" w14:textId="77777777" w:rsidR="00E800FE" w:rsidRPr="00260DEF" w:rsidRDefault="00506804">
            <w:pPr>
              <w:pStyle w:val="TableParagraph"/>
              <w:ind w:left="485" w:right="474"/>
              <w:jc w:val="center"/>
              <w:rPr>
                <w:highlight w:val="yellow"/>
              </w:rPr>
            </w:pPr>
            <w:r w:rsidRPr="00260DEF">
              <w:rPr>
                <w:highlight w:val="yellow"/>
              </w:rPr>
              <w:t>SSM</w:t>
            </w:r>
          </w:p>
        </w:tc>
        <w:tc>
          <w:tcPr>
            <w:tcW w:w="3980" w:type="dxa"/>
          </w:tcPr>
          <w:p w14:paraId="3A95E909" w14:textId="77777777" w:rsidR="00E800FE" w:rsidRPr="00260DEF" w:rsidRDefault="00506804">
            <w:pPr>
              <w:pStyle w:val="TableParagraph"/>
              <w:ind w:left="373" w:right="364"/>
              <w:jc w:val="center"/>
              <w:rPr>
                <w:highlight w:val="yellow"/>
              </w:rPr>
            </w:pPr>
            <w:r w:rsidRPr="00260DEF">
              <w:rPr>
                <w:highlight w:val="yellow"/>
              </w:rP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F6233CF" w:rsidR="00E800FE" w:rsidRDefault="00506804">
            <w:pPr>
              <w:pStyle w:val="TableParagraph"/>
              <w:spacing w:before="116"/>
              <w:ind w:left="107" w:right="82"/>
              <w:rPr>
                <w:b/>
              </w:rPr>
            </w:pPr>
            <w:r>
              <w:rPr>
                <w:b/>
              </w:rPr>
              <w:t xml:space="preserve">Communication skills to exchange information </w:t>
            </w:r>
            <w:proofErr w:type="gramStart"/>
            <w:r>
              <w:rPr>
                <w:b/>
              </w:rPr>
              <w:t>to</w:t>
            </w:r>
            <w:proofErr w:type="gramEnd"/>
            <w:r>
              <w:rPr>
                <w:b/>
              </w:rPr>
              <w:t xml:space="preserve"> a range of audiences including </w:t>
            </w:r>
            <w:r w:rsidR="00260DEF">
              <w:rPr>
                <w:b/>
              </w:rPr>
              <w:t>student</w:t>
            </w:r>
            <w:r>
              <w:rPr>
                <w:b/>
              </w:rPr>
              <w:t>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99A6" w14:textId="77777777" w:rsidR="00D15A03" w:rsidRDefault="00D15A03">
      <w:r>
        <w:separator/>
      </w:r>
    </w:p>
  </w:endnote>
  <w:endnote w:type="continuationSeparator" w:id="0">
    <w:p w14:paraId="4AEE77B0" w14:textId="77777777" w:rsidR="00D15A03" w:rsidRDefault="00D1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F2D2" w14:textId="77777777" w:rsidR="00D15A03" w:rsidRDefault="00D15A03">
      <w:r>
        <w:separator/>
      </w:r>
    </w:p>
  </w:footnote>
  <w:footnote w:type="continuationSeparator" w:id="0">
    <w:p w14:paraId="4B2A20D8" w14:textId="77777777" w:rsidR="00D15A03" w:rsidRDefault="00D1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1070931929">
    <w:abstractNumId w:val="3"/>
  </w:num>
  <w:num w:numId="2" w16cid:durableId="532234206">
    <w:abstractNumId w:val="0"/>
  </w:num>
  <w:num w:numId="3" w16cid:durableId="179665631">
    <w:abstractNumId w:val="1"/>
  </w:num>
  <w:num w:numId="4" w16cid:durableId="1109816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260DEF"/>
    <w:rsid w:val="004123A5"/>
    <w:rsid w:val="004335D9"/>
    <w:rsid w:val="00506804"/>
    <w:rsid w:val="005604A0"/>
    <w:rsid w:val="00727493"/>
    <w:rsid w:val="00773EE1"/>
    <w:rsid w:val="00797062"/>
    <w:rsid w:val="007F66FC"/>
    <w:rsid w:val="008F2FC4"/>
    <w:rsid w:val="00914D86"/>
    <w:rsid w:val="00D15A03"/>
    <w:rsid w:val="00D47C1E"/>
    <w:rsid w:val="00E770DB"/>
    <w:rsid w:val="00E800FE"/>
    <w:rsid w:val="00F205D6"/>
    <w:rsid w:val="4DB291F5"/>
    <w:rsid w:val="62ECC788"/>
    <w:rsid w:val="691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32D09DAAD8642B6586B36FF5A57DB" ma:contentTypeVersion="18" ma:contentTypeDescription="Create a new document." ma:contentTypeScope="" ma:versionID="f6d837b81393d758030f856c1e09e4a3">
  <xsd:schema xmlns:xsd="http://www.w3.org/2001/XMLSchema" xmlns:xs="http://www.w3.org/2001/XMLSchema" xmlns:p="http://schemas.microsoft.com/office/2006/metadata/properties" xmlns:ns3="b0784cf2-61c7-4bfa-9e15-57fa37b45160" xmlns:ns4="6b560749-9caf-4a94-bb21-425648080286" targetNamespace="http://schemas.microsoft.com/office/2006/metadata/properties" ma:root="true" ma:fieldsID="6a86fb92301e701e44a99c5297e12b71" ns3:_="" ns4:_="">
    <xsd:import namespace="b0784cf2-61c7-4bfa-9e15-57fa37b45160"/>
    <xsd:import namespace="6b560749-9caf-4a94-bb21-4256480802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4cf2-61c7-4bfa-9e15-57fa37b451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60749-9caf-4a94-bb21-4256480802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560749-9caf-4a94-bb21-425648080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736BB-9B13-4E37-A1C2-84A3887DD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4cf2-61c7-4bfa-9e15-57fa37b45160"/>
    <ds:schemaRef ds:uri="6b560749-9caf-4a94-bb21-425648080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32BCF-B1A2-4C91-B713-2E76C83DFAF1}">
  <ds:schemaRefs>
    <ds:schemaRef ds:uri="http://purl.org/dc/dcmitype/"/>
    <ds:schemaRef ds:uri="b0784cf2-61c7-4bfa-9e15-57fa37b45160"/>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b560749-9caf-4a94-bb21-425648080286"/>
    <ds:schemaRef ds:uri="http://www.w3.org/XML/1998/namespace"/>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662</Words>
  <Characters>3777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Dawn Allison</cp:lastModifiedBy>
  <cp:revision>2</cp:revision>
  <dcterms:created xsi:type="dcterms:W3CDTF">2025-10-17T14:02:00Z</dcterms:created>
  <dcterms:modified xsi:type="dcterms:W3CDTF">2025-10-17T14:02:00Z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0x01010021E32D09DAAD8642B6586B36FF5A57DB</vt:lpwstr>
  </property>
  <property fmtid="{D5CDD505-2E9C-101B-9397-08002B2CF9AE}" pid="6" name="MediaServiceImageTags">
    <vt:lpwstr/>
  </property>
</Properties>
</file>