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7A0EA" w14:textId="77777777" w:rsidR="00DE12F4" w:rsidRPr="00347AB2" w:rsidRDefault="00DE12F4">
      <w:pPr>
        <w:jc w:val="center"/>
        <w:rPr>
          <w:rFonts w:asciiTheme="majorHAnsi" w:hAnsiTheme="majorHAnsi" w:cstheme="majorHAnsi"/>
          <w:b/>
        </w:rPr>
      </w:pPr>
      <w:bookmarkStart w:id="0" w:name="_gjdgxs" w:colFirst="0" w:colLast="0"/>
      <w:bookmarkEnd w:id="0"/>
    </w:p>
    <w:p w14:paraId="7197A0EB" w14:textId="77777777" w:rsidR="00DE12F4" w:rsidRPr="00347AB2" w:rsidRDefault="00C00F36">
      <w:pPr>
        <w:jc w:val="center"/>
        <w:rPr>
          <w:rFonts w:asciiTheme="majorHAnsi" w:hAnsiTheme="majorHAnsi" w:cstheme="majorHAnsi"/>
          <w:b/>
        </w:rPr>
      </w:pPr>
      <w:r w:rsidRPr="00347AB2">
        <w:rPr>
          <w:rFonts w:asciiTheme="majorHAnsi" w:hAnsiTheme="majorHAnsi" w:cstheme="majorHAnsi"/>
          <w:b/>
        </w:rPr>
        <w:t>GLF Schools Job Description</w:t>
      </w:r>
    </w:p>
    <w:p w14:paraId="7197A0EC" w14:textId="77777777" w:rsidR="00DE12F4" w:rsidRPr="00347AB2" w:rsidRDefault="00DE12F4">
      <w:pPr>
        <w:jc w:val="center"/>
        <w:rPr>
          <w:rFonts w:asciiTheme="majorHAnsi" w:hAnsiTheme="majorHAnsi" w:cstheme="majorHAnsi"/>
          <w:b/>
        </w:rPr>
      </w:pP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6"/>
        <w:gridCol w:w="2832"/>
        <w:gridCol w:w="1678"/>
        <w:gridCol w:w="2240"/>
      </w:tblGrid>
      <w:tr w:rsidR="00DE12F4" w:rsidRPr="00347AB2" w14:paraId="7197A0F1" w14:textId="77777777" w:rsidTr="00B10A65">
        <w:tc>
          <w:tcPr>
            <w:tcW w:w="2266" w:type="dxa"/>
            <w:shd w:val="clear" w:color="auto" w:fill="DBE5F1"/>
            <w:vAlign w:val="center"/>
          </w:tcPr>
          <w:p w14:paraId="7197A0ED" w14:textId="77777777" w:rsidR="00DE12F4" w:rsidRPr="00347AB2" w:rsidRDefault="00C00F36">
            <w:pPr>
              <w:jc w:val="left"/>
              <w:rPr>
                <w:rFonts w:asciiTheme="majorHAnsi" w:hAnsiTheme="majorHAnsi" w:cstheme="majorHAnsi"/>
                <w:b/>
              </w:rPr>
            </w:pPr>
            <w:r w:rsidRPr="00347AB2">
              <w:rPr>
                <w:rFonts w:asciiTheme="majorHAnsi" w:hAnsiTheme="majorHAnsi" w:cstheme="majorHAnsi"/>
                <w:b/>
              </w:rPr>
              <w:t>Job Title</w:t>
            </w:r>
          </w:p>
        </w:tc>
        <w:tc>
          <w:tcPr>
            <w:tcW w:w="2832" w:type="dxa"/>
            <w:vAlign w:val="center"/>
          </w:tcPr>
          <w:p w14:paraId="7197A0EE" w14:textId="1725A663" w:rsidR="00DE12F4" w:rsidRPr="00347AB2" w:rsidRDefault="00B10A65">
            <w:pPr>
              <w:jc w:val="left"/>
              <w:rPr>
                <w:rFonts w:asciiTheme="majorHAnsi" w:hAnsiTheme="majorHAnsi" w:cstheme="majorHAnsi"/>
              </w:rPr>
            </w:pPr>
            <w:r>
              <w:rPr>
                <w:rFonts w:asciiTheme="majorHAnsi" w:hAnsiTheme="majorHAnsi" w:cstheme="majorHAnsi"/>
              </w:rPr>
              <w:t>Payroll &amp; Pensions Manager</w:t>
            </w:r>
          </w:p>
        </w:tc>
        <w:tc>
          <w:tcPr>
            <w:tcW w:w="1678" w:type="dxa"/>
            <w:shd w:val="clear" w:color="auto" w:fill="DBE5F1"/>
            <w:vAlign w:val="center"/>
          </w:tcPr>
          <w:p w14:paraId="7197A0EF" w14:textId="77777777" w:rsidR="00DE12F4" w:rsidRPr="00347AB2" w:rsidRDefault="00C00F36">
            <w:pPr>
              <w:jc w:val="left"/>
              <w:rPr>
                <w:rFonts w:asciiTheme="majorHAnsi" w:hAnsiTheme="majorHAnsi" w:cstheme="majorHAnsi"/>
                <w:b/>
              </w:rPr>
            </w:pPr>
            <w:r w:rsidRPr="00347AB2">
              <w:rPr>
                <w:rFonts w:asciiTheme="majorHAnsi" w:hAnsiTheme="majorHAnsi" w:cstheme="majorHAnsi"/>
                <w:b/>
              </w:rPr>
              <w:t>Job Reference</w:t>
            </w:r>
          </w:p>
        </w:tc>
        <w:tc>
          <w:tcPr>
            <w:tcW w:w="2240" w:type="dxa"/>
            <w:vAlign w:val="center"/>
          </w:tcPr>
          <w:p w14:paraId="7197A0F0" w14:textId="36CEC6F3" w:rsidR="00DE12F4" w:rsidRPr="00347AB2" w:rsidRDefault="00DE12F4">
            <w:pPr>
              <w:jc w:val="left"/>
              <w:rPr>
                <w:rFonts w:asciiTheme="majorHAnsi" w:hAnsiTheme="majorHAnsi" w:cstheme="majorHAnsi"/>
              </w:rPr>
            </w:pPr>
          </w:p>
        </w:tc>
      </w:tr>
      <w:tr w:rsidR="00DE12F4" w:rsidRPr="00347AB2" w14:paraId="7197A0F6" w14:textId="77777777" w:rsidTr="00B10A65">
        <w:tc>
          <w:tcPr>
            <w:tcW w:w="2266" w:type="dxa"/>
            <w:shd w:val="clear" w:color="auto" w:fill="DBE5F1"/>
            <w:vAlign w:val="center"/>
          </w:tcPr>
          <w:p w14:paraId="7197A0F2" w14:textId="77777777" w:rsidR="00DE12F4" w:rsidRPr="00347AB2" w:rsidRDefault="00C00F36">
            <w:pPr>
              <w:jc w:val="left"/>
              <w:rPr>
                <w:rFonts w:asciiTheme="majorHAnsi" w:hAnsiTheme="majorHAnsi" w:cstheme="majorHAnsi"/>
                <w:b/>
              </w:rPr>
            </w:pPr>
            <w:r w:rsidRPr="00347AB2">
              <w:rPr>
                <w:rFonts w:asciiTheme="majorHAnsi" w:hAnsiTheme="majorHAnsi" w:cstheme="majorHAnsi"/>
                <w:b/>
              </w:rPr>
              <w:t>Grade</w:t>
            </w:r>
          </w:p>
        </w:tc>
        <w:tc>
          <w:tcPr>
            <w:tcW w:w="2832" w:type="dxa"/>
            <w:vAlign w:val="center"/>
          </w:tcPr>
          <w:p w14:paraId="7197A0F3" w14:textId="64F323D1" w:rsidR="00DE12F4" w:rsidRPr="00347AB2" w:rsidRDefault="00B10A65">
            <w:pPr>
              <w:jc w:val="left"/>
              <w:rPr>
                <w:rFonts w:asciiTheme="majorHAnsi" w:hAnsiTheme="majorHAnsi" w:cstheme="majorHAnsi"/>
              </w:rPr>
            </w:pPr>
            <w:r>
              <w:rPr>
                <w:rFonts w:asciiTheme="majorHAnsi" w:hAnsiTheme="majorHAnsi" w:cstheme="majorHAnsi"/>
              </w:rPr>
              <w:t>L1</w:t>
            </w:r>
          </w:p>
        </w:tc>
        <w:tc>
          <w:tcPr>
            <w:tcW w:w="1678" w:type="dxa"/>
            <w:shd w:val="clear" w:color="auto" w:fill="DBE5F1"/>
            <w:vAlign w:val="center"/>
          </w:tcPr>
          <w:p w14:paraId="7197A0F4" w14:textId="77777777" w:rsidR="00DE12F4" w:rsidRPr="00347AB2" w:rsidRDefault="00C00F36">
            <w:pPr>
              <w:jc w:val="left"/>
              <w:rPr>
                <w:rFonts w:asciiTheme="majorHAnsi" w:hAnsiTheme="majorHAnsi" w:cstheme="majorHAnsi"/>
                <w:b/>
              </w:rPr>
            </w:pPr>
            <w:r w:rsidRPr="00347AB2">
              <w:rPr>
                <w:rFonts w:asciiTheme="majorHAnsi" w:hAnsiTheme="majorHAnsi" w:cstheme="majorHAnsi"/>
                <w:b/>
              </w:rPr>
              <w:t xml:space="preserve">Salary </w:t>
            </w:r>
          </w:p>
        </w:tc>
        <w:tc>
          <w:tcPr>
            <w:tcW w:w="2240" w:type="dxa"/>
            <w:vAlign w:val="center"/>
          </w:tcPr>
          <w:p w14:paraId="7197A0F5" w14:textId="45143BAC" w:rsidR="00DE12F4" w:rsidRPr="00347AB2" w:rsidRDefault="00B10A65">
            <w:pPr>
              <w:jc w:val="left"/>
              <w:rPr>
                <w:rFonts w:asciiTheme="majorHAnsi" w:hAnsiTheme="majorHAnsi" w:cstheme="majorHAnsi"/>
              </w:rPr>
            </w:pPr>
            <w:r>
              <w:rPr>
                <w:rFonts w:asciiTheme="majorHAnsi" w:hAnsiTheme="majorHAnsi" w:cstheme="majorHAnsi"/>
              </w:rPr>
              <w:t>£</w:t>
            </w:r>
            <w:r w:rsidR="00D15A0C">
              <w:rPr>
                <w:rFonts w:asciiTheme="majorHAnsi" w:hAnsiTheme="majorHAnsi" w:cstheme="majorHAnsi"/>
              </w:rPr>
              <w:t>44,237 FTE</w:t>
            </w:r>
            <w:r>
              <w:rPr>
                <w:rFonts w:asciiTheme="majorHAnsi" w:hAnsiTheme="majorHAnsi" w:cstheme="majorHAnsi"/>
              </w:rPr>
              <w:t xml:space="preserve"> </w:t>
            </w:r>
          </w:p>
        </w:tc>
      </w:tr>
      <w:tr w:rsidR="00347AB2" w:rsidRPr="00347AB2" w14:paraId="7197A0FB" w14:textId="77777777" w:rsidTr="00B10A65">
        <w:tc>
          <w:tcPr>
            <w:tcW w:w="2266" w:type="dxa"/>
            <w:shd w:val="clear" w:color="auto" w:fill="DBE5F1"/>
            <w:vAlign w:val="center"/>
          </w:tcPr>
          <w:p w14:paraId="7197A0F7" w14:textId="77777777" w:rsidR="00347AB2" w:rsidRPr="00347AB2" w:rsidRDefault="00347AB2">
            <w:pPr>
              <w:jc w:val="left"/>
              <w:rPr>
                <w:rFonts w:asciiTheme="majorHAnsi" w:hAnsiTheme="majorHAnsi" w:cstheme="majorHAnsi"/>
                <w:b/>
              </w:rPr>
            </w:pPr>
            <w:r w:rsidRPr="00347AB2">
              <w:rPr>
                <w:rFonts w:asciiTheme="majorHAnsi" w:hAnsiTheme="majorHAnsi" w:cstheme="majorHAnsi"/>
                <w:b/>
              </w:rPr>
              <w:t>Location</w:t>
            </w:r>
          </w:p>
        </w:tc>
        <w:tc>
          <w:tcPr>
            <w:tcW w:w="2832" w:type="dxa"/>
            <w:vAlign w:val="center"/>
          </w:tcPr>
          <w:p w14:paraId="7197A0F8" w14:textId="4AFEDF49" w:rsidR="00347AB2" w:rsidRPr="00347AB2" w:rsidRDefault="00B10A65">
            <w:pPr>
              <w:jc w:val="left"/>
              <w:rPr>
                <w:rFonts w:asciiTheme="majorHAnsi" w:hAnsiTheme="majorHAnsi" w:cstheme="majorHAnsi"/>
              </w:rPr>
            </w:pPr>
            <w:proofErr w:type="spellStart"/>
            <w:r>
              <w:rPr>
                <w:rFonts w:asciiTheme="majorHAnsi" w:hAnsiTheme="majorHAnsi" w:cstheme="majorHAnsi"/>
              </w:rPr>
              <w:t>Earlsfield</w:t>
            </w:r>
            <w:proofErr w:type="spellEnd"/>
            <w:r w:rsidR="00B165E0">
              <w:rPr>
                <w:rFonts w:asciiTheme="majorHAnsi" w:hAnsiTheme="majorHAnsi" w:cstheme="majorHAnsi"/>
              </w:rPr>
              <w:t xml:space="preserve"> Business Centre</w:t>
            </w:r>
          </w:p>
        </w:tc>
        <w:tc>
          <w:tcPr>
            <w:tcW w:w="3918" w:type="dxa"/>
            <w:gridSpan w:val="2"/>
            <w:shd w:val="clear" w:color="auto" w:fill="DBE5F1"/>
            <w:vAlign w:val="center"/>
          </w:tcPr>
          <w:p w14:paraId="7197A0FA" w14:textId="55DE108B" w:rsidR="00347AB2" w:rsidRPr="00347AB2" w:rsidRDefault="00347AB2">
            <w:pPr>
              <w:jc w:val="left"/>
              <w:rPr>
                <w:rFonts w:asciiTheme="majorHAnsi" w:hAnsiTheme="majorHAnsi" w:cstheme="majorHAnsi"/>
              </w:rPr>
            </w:pPr>
          </w:p>
        </w:tc>
      </w:tr>
      <w:tr w:rsidR="00DE12F4" w:rsidRPr="00347AB2" w14:paraId="7197A0FF" w14:textId="77777777">
        <w:tc>
          <w:tcPr>
            <w:tcW w:w="9016" w:type="dxa"/>
            <w:gridSpan w:val="4"/>
            <w:shd w:val="clear" w:color="auto" w:fill="DBE5F1"/>
          </w:tcPr>
          <w:p w14:paraId="7197A0FE" w14:textId="77777777" w:rsidR="00DE12F4" w:rsidRPr="00347AB2" w:rsidRDefault="00C00F36">
            <w:pPr>
              <w:rPr>
                <w:rFonts w:asciiTheme="majorHAnsi" w:hAnsiTheme="majorHAnsi" w:cstheme="majorHAnsi"/>
                <w:b/>
              </w:rPr>
            </w:pPr>
            <w:r w:rsidRPr="00347AB2">
              <w:rPr>
                <w:rFonts w:asciiTheme="majorHAnsi" w:hAnsiTheme="majorHAnsi" w:cstheme="majorHAnsi"/>
                <w:b/>
              </w:rPr>
              <w:t>Core purpose</w:t>
            </w:r>
          </w:p>
        </w:tc>
      </w:tr>
      <w:tr w:rsidR="00DE12F4" w:rsidRPr="00347AB2" w14:paraId="7197A105" w14:textId="77777777">
        <w:tc>
          <w:tcPr>
            <w:tcW w:w="9016" w:type="dxa"/>
            <w:gridSpan w:val="4"/>
          </w:tcPr>
          <w:p w14:paraId="7197A104" w14:textId="6D28C4CA" w:rsidR="00B165E0" w:rsidRPr="005732FD" w:rsidRDefault="004148AE" w:rsidP="005732FD">
            <w:pPr>
              <w:rPr>
                <w:rFonts w:asciiTheme="majorHAnsi" w:eastAsia="Open Sans" w:hAnsiTheme="majorHAnsi" w:cstheme="majorHAnsi"/>
              </w:rPr>
            </w:pPr>
            <w:r w:rsidRPr="004148AE">
              <w:rPr>
                <w:rFonts w:asciiTheme="majorHAnsi" w:eastAsia="Open Sans" w:hAnsiTheme="majorHAnsi" w:cstheme="majorHAnsi"/>
              </w:rPr>
              <w:t xml:space="preserve">The Payroll &amp; Pensions Manager oversees the Trust’s payroll and pensions operations, working closely with central Payroll </w:t>
            </w:r>
            <w:r w:rsidR="003F368F">
              <w:rPr>
                <w:rFonts w:asciiTheme="majorHAnsi" w:eastAsia="Open Sans" w:hAnsiTheme="majorHAnsi" w:cstheme="majorHAnsi"/>
              </w:rPr>
              <w:t>Coordinators</w:t>
            </w:r>
            <w:r w:rsidRPr="004148AE">
              <w:rPr>
                <w:rFonts w:asciiTheme="majorHAnsi" w:eastAsia="Open Sans" w:hAnsiTheme="majorHAnsi" w:cstheme="majorHAnsi"/>
              </w:rPr>
              <w:t xml:space="preserve"> and People Administrators</w:t>
            </w:r>
            <w:r w:rsidR="0079694F">
              <w:rPr>
                <w:rFonts w:asciiTheme="majorHAnsi" w:eastAsia="Open Sans" w:hAnsiTheme="majorHAnsi" w:cstheme="majorHAnsi"/>
              </w:rPr>
              <w:t xml:space="preserve"> in the wider team</w:t>
            </w:r>
            <w:r w:rsidRPr="004148AE">
              <w:rPr>
                <w:rFonts w:asciiTheme="majorHAnsi" w:eastAsia="Open Sans" w:hAnsiTheme="majorHAnsi" w:cstheme="majorHAnsi"/>
              </w:rPr>
              <w:t xml:space="preserve"> to ensure timely and accurate payroll processing in accordance with GLF policies and legislative requirements. As the key relationship holder, they will liaise with external payroll and pensions providers to keep all stakeholders informed of relevant updates and changes. By managing and developing the central payroll team, the postholder will ensure</w:t>
            </w:r>
            <w:r w:rsidR="003B5147">
              <w:rPr>
                <w:rFonts w:asciiTheme="majorHAnsi" w:eastAsia="Open Sans" w:hAnsiTheme="majorHAnsi" w:cstheme="majorHAnsi"/>
              </w:rPr>
              <w:t xml:space="preserve"> that</w:t>
            </w:r>
            <w:r w:rsidRPr="004148AE">
              <w:rPr>
                <w:rFonts w:asciiTheme="majorHAnsi" w:eastAsia="Open Sans" w:hAnsiTheme="majorHAnsi" w:cstheme="majorHAnsi"/>
              </w:rPr>
              <w:t xml:space="preserve"> a consistent, exemplary service is delivered to all employees. This role also supports the Head of Compensation and Benefits in delivering </w:t>
            </w:r>
            <w:r w:rsidR="001E3D85">
              <w:rPr>
                <w:rFonts w:asciiTheme="majorHAnsi" w:eastAsia="Open Sans" w:hAnsiTheme="majorHAnsi" w:cstheme="majorHAnsi"/>
              </w:rPr>
              <w:t xml:space="preserve">the overall </w:t>
            </w:r>
            <w:r w:rsidRPr="004148AE">
              <w:rPr>
                <w:rFonts w:asciiTheme="majorHAnsi" w:eastAsia="Open Sans" w:hAnsiTheme="majorHAnsi" w:cstheme="majorHAnsi"/>
              </w:rPr>
              <w:t>Rewards</w:t>
            </w:r>
            <w:r w:rsidR="001E3D85">
              <w:rPr>
                <w:rFonts w:asciiTheme="majorHAnsi" w:eastAsia="Open Sans" w:hAnsiTheme="majorHAnsi" w:cstheme="majorHAnsi"/>
              </w:rPr>
              <w:t xml:space="preserve"> strategy</w:t>
            </w:r>
            <w:r w:rsidRPr="004148AE">
              <w:rPr>
                <w:rFonts w:asciiTheme="majorHAnsi" w:eastAsia="Open Sans" w:hAnsiTheme="majorHAnsi" w:cstheme="majorHAnsi"/>
              </w:rPr>
              <w:t xml:space="preserve"> for the Trust.</w:t>
            </w:r>
          </w:p>
        </w:tc>
      </w:tr>
      <w:tr w:rsidR="00DE12F4" w:rsidRPr="00347AB2" w14:paraId="7197A107" w14:textId="77777777">
        <w:tc>
          <w:tcPr>
            <w:tcW w:w="9016" w:type="dxa"/>
            <w:gridSpan w:val="4"/>
            <w:shd w:val="clear" w:color="auto" w:fill="DBE5F1"/>
          </w:tcPr>
          <w:p w14:paraId="7197A106" w14:textId="77777777" w:rsidR="00DE12F4" w:rsidRPr="00347AB2" w:rsidRDefault="00C00F36">
            <w:pPr>
              <w:rPr>
                <w:rFonts w:asciiTheme="majorHAnsi" w:eastAsia="Open Sans" w:hAnsiTheme="majorHAnsi" w:cstheme="majorHAnsi"/>
              </w:rPr>
            </w:pPr>
            <w:r w:rsidRPr="00347AB2">
              <w:rPr>
                <w:rFonts w:asciiTheme="majorHAnsi" w:eastAsia="Open Sans" w:hAnsiTheme="majorHAnsi" w:cstheme="majorHAnsi"/>
              </w:rPr>
              <w:t>Main Duties</w:t>
            </w:r>
          </w:p>
        </w:tc>
      </w:tr>
      <w:tr w:rsidR="00DE12F4" w:rsidRPr="00347AB2" w14:paraId="7197A116" w14:textId="77777777">
        <w:tc>
          <w:tcPr>
            <w:tcW w:w="9016" w:type="dxa"/>
            <w:gridSpan w:val="4"/>
          </w:tcPr>
          <w:p w14:paraId="6BC8FD9D" w14:textId="2DCBA263" w:rsidR="006B02C2" w:rsidRDefault="00E102FF" w:rsidP="006B02C2">
            <w:pPr>
              <w:pStyle w:val="ListParagraph"/>
              <w:numPr>
                <w:ilvl w:val="0"/>
                <w:numId w:val="4"/>
              </w:numPr>
              <w:rPr>
                <w:rFonts w:asciiTheme="majorHAnsi" w:eastAsia="Open Sans" w:hAnsiTheme="majorHAnsi" w:cstheme="majorHAnsi"/>
              </w:rPr>
            </w:pPr>
            <w:r>
              <w:rPr>
                <w:rFonts w:asciiTheme="majorHAnsi" w:eastAsia="Open Sans" w:hAnsiTheme="majorHAnsi" w:cstheme="majorHAnsi"/>
              </w:rPr>
              <w:t>Process payroll for a select</w:t>
            </w:r>
            <w:r w:rsidR="00B165E0">
              <w:rPr>
                <w:rFonts w:asciiTheme="majorHAnsi" w:eastAsia="Open Sans" w:hAnsiTheme="majorHAnsi" w:cstheme="majorHAnsi"/>
              </w:rPr>
              <w:t xml:space="preserve"> </w:t>
            </w:r>
            <w:r w:rsidR="006B02C2">
              <w:rPr>
                <w:rFonts w:asciiTheme="majorHAnsi" w:eastAsia="Open Sans" w:hAnsiTheme="majorHAnsi" w:cstheme="majorHAnsi"/>
              </w:rPr>
              <w:t xml:space="preserve">number of schools </w:t>
            </w:r>
            <w:r>
              <w:rPr>
                <w:rFonts w:asciiTheme="majorHAnsi" w:eastAsia="Open Sans" w:hAnsiTheme="majorHAnsi" w:cstheme="majorHAnsi"/>
              </w:rPr>
              <w:t>with</w:t>
            </w:r>
            <w:r w:rsidR="006B02C2">
              <w:rPr>
                <w:rFonts w:asciiTheme="majorHAnsi" w:eastAsia="Open Sans" w:hAnsiTheme="majorHAnsi" w:cstheme="majorHAnsi"/>
              </w:rPr>
              <w:t>in the Trust.</w:t>
            </w:r>
          </w:p>
          <w:p w14:paraId="08DBE824" w14:textId="2552D3C3" w:rsidR="00E102FF" w:rsidRDefault="00E102FF" w:rsidP="00E102FF">
            <w:pPr>
              <w:pStyle w:val="ListParagraph"/>
              <w:numPr>
                <w:ilvl w:val="0"/>
                <w:numId w:val="4"/>
              </w:numPr>
              <w:rPr>
                <w:rFonts w:asciiTheme="majorHAnsi" w:eastAsia="Open Sans" w:hAnsiTheme="majorHAnsi" w:cstheme="majorHAnsi"/>
              </w:rPr>
            </w:pPr>
            <w:r>
              <w:rPr>
                <w:rFonts w:asciiTheme="majorHAnsi" w:eastAsia="Open Sans" w:hAnsiTheme="majorHAnsi" w:cstheme="majorHAnsi"/>
              </w:rPr>
              <w:t>Serve as the primary contact for relevant external providers, in particular payroll (Neo) and pensions (LGPS &amp; TPS).</w:t>
            </w:r>
          </w:p>
          <w:p w14:paraId="62C9DC6E" w14:textId="50BF8D06" w:rsidR="00E102FF" w:rsidRPr="005732FD" w:rsidRDefault="00E102FF" w:rsidP="00E102FF">
            <w:pPr>
              <w:pStyle w:val="ListParagraph"/>
              <w:numPr>
                <w:ilvl w:val="0"/>
                <w:numId w:val="4"/>
              </w:numPr>
              <w:rPr>
                <w:rFonts w:asciiTheme="majorHAnsi" w:eastAsia="Open Sans" w:hAnsiTheme="majorHAnsi" w:cstheme="majorHAnsi"/>
              </w:rPr>
            </w:pPr>
            <w:r>
              <w:rPr>
                <w:rFonts w:asciiTheme="majorHAnsi" w:eastAsia="Open Sans" w:hAnsiTheme="majorHAnsi" w:cstheme="majorHAnsi"/>
              </w:rPr>
              <w:t>Act as the main point of reference for LGPS and TPS pension knowledge and enquiries.</w:t>
            </w:r>
          </w:p>
          <w:p w14:paraId="5EC7EE31" w14:textId="529B7243" w:rsidR="00E102FF" w:rsidRPr="002C435D" w:rsidRDefault="00E102FF" w:rsidP="00E102FF">
            <w:pPr>
              <w:pStyle w:val="ListParagraph"/>
              <w:numPr>
                <w:ilvl w:val="0"/>
                <w:numId w:val="4"/>
              </w:numPr>
              <w:rPr>
                <w:rFonts w:asciiTheme="majorHAnsi" w:eastAsia="Open Sans" w:hAnsiTheme="majorHAnsi" w:cstheme="majorHAnsi"/>
              </w:rPr>
            </w:pPr>
            <w:r>
              <w:rPr>
                <w:rFonts w:asciiTheme="majorHAnsi" w:eastAsia="Open Sans" w:hAnsiTheme="majorHAnsi" w:cstheme="majorHAnsi"/>
              </w:rPr>
              <w:t xml:space="preserve">Address complex payroll and pension issues, and assist the wider payroll team </w:t>
            </w:r>
            <w:proofErr w:type="gramStart"/>
            <w:r>
              <w:rPr>
                <w:rFonts w:asciiTheme="majorHAnsi" w:eastAsia="Open Sans" w:hAnsiTheme="majorHAnsi" w:cstheme="majorHAnsi"/>
              </w:rPr>
              <w:t>with  routine</w:t>
            </w:r>
            <w:proofErr w:type="gramEnd"/>
            <w:r>
              <w:rPr>
                <w:rFonts w:asciiTheme="majorHAnsi" w:eastAsia="Open Sans" w:hAnsiTheme="majorHAnsi" w:cstheme="majorHAnsi"/>
              </w:rPr>
              <w:t xml:space="preserve"> queries where required.</w:t>
            </w:r>
          </w:p>
          <w:p w14:paraId="1E3F7D1D" w14:textId="0D8A6B83" w:rsidR="005732FD" w:rsidRDefault="006B02C2" w:rsidP="005732FD">
            <w:pPr>
              <w:pStyle w:val="ListParagraph"/>
              <w:numPr>
                <w:ilvl w:val="0"/>
                <w:numId w:val="4"/>
              </w:numPr>
              <w:rPr>
                <w:rFonts w:asciiTheme="majorHAnsi" w:eastAsia="Open Sans" w:hAnsiTheme="majorHAnsi" w:cstheme="majorHAnsi"/>
              </w:rPr>
            </w:pPr>
            <w:r>
              <w:rPr>
                <w:rFonts w:asciiTheme="majorHAnsi" w:eastAsia="Open Sans" w:hAnsiTheme="majorHAnsi" w:cstheme="majorHAnsi"/>
              </w:rPr>
              <w:t>Line Management of</w:t>
            </w:r>
            <w:r w:rsidR="00E102FF">
              <w:rPr>
                <w:rFonts w:asciiTheme="majorHAnsi" w:eastAsia="Open Sans" w:hAnsiTheme="majorHAnsi" w:cstheme="majorHAnsi"/>
              </w:rPr>
              <w:t xml:space="preserve"> the</w:t>
            </w:r>
            <w:r>
              <w:rPr>
                <w:rFonts w:asciiTheme="majorHAnsi" w:eastAsia="Open Sans" w:hAnsiTheme="majorHAnsi" w:cstheme="majorHAnsi"/>
              </w:rPr>
              <w:t xml:space="preserve"> central Payroll </w:t>
            </w:r>
            <w:r w:rsidR="003F368F">
              <w:rPr>
                <w:rFonts w:asciiTheme="majorHAnsi" w:eastAsia="Open Sans" w:hAnsiTheme="majorHAnsi" w:cstheme="majorHAnsi"/>
              </w:rPr>
              <w:t>Coordinator</w:t>
            </w:r>
            <w:r>
              <w:rPr>
                <w:rFonts w:asciiTheme="majorHAnsi" w:eastAsia="Open Sans" w:hAnsiTheme="majorHAnsi" w:cstheme="majorHAnsi"/>
              </w:rPr>
              <w:t>s.</w:t>
            </w:r>
          </w:p>
          <w:p w14:paraId="0A1202BD" w14:textId="6BF94C3F" w:rsidR="00E102FF" w:rsidRDefault="00E102FF" w:rsidP="00E102FF">
            <w:pPr>
              <w:pStyle w:val="ListParagraph"/>
              <w:numPr>
                <w:ilvl w:val="0"/>
                <w:numId w:val="4"/>
              </w:numPr>
              <w:rPr>
                <w:rFonts w:asciiTheme="majorHAnsi" w:eastAsia="Open Sans" w:hAnsiTheme="majorHAnsi" w:cstheme="majorHAnsi"/>
              </w:rPr>
            </w:pPr>
            <w:r>
              <w:rPr>
                <w:rFonts w:asciiTheme="majorHAnsi" w:eastAsia="Open Sans" w:hAnsiTheme="majorHAnsi" w:cstheme="majorHAnsi"/>
              </w:rPr>
              <w:t>Train</w:t>
            </w:r>
            <w:r w:rsidRPr="006B02C2">
              <w:rPr>
                <w:rFonts w:asciiTheme="majorHAnsi" w:eastAsia="Open Sans" w:hAnsiTheme="majorHAnsi" w:cstheme="majorHAnsi"/>
              </w:rPr>
              <w:t xml:space="preserve"> Payroll </w:t>
            </w:r>
            <w:r w:rsidR="003F368F">
              <w:rPr>
                <w:rFonts w:asciiTheme="majorHAnsi" w:eastAsia="Open Sans" w:hAnsiTheme="majorHAnsi" w:cstheme="majorHAnsi"/>
              </w:rPr>
              <w:t>Coordinator</w:t>
            </w:r>
            <w:r w:rsidRPr="006B02C2">
              <w:rPr>
                <w:rFonts w:asciiTheme="majorHAnsi" w:eastAsia="Open Sans" w:hAnsiTheme="majorHAnsi" w:cstheme="majorHAnsi"/>
              </w:rPr>
              <w:t xml:space="preserve">s and </w:t>
            </w:r>
            <w:r>
              <w:rPr>
                <w:rFonts w:asciiTheme="majorHAnsi" w:eastAsia="Open Sans" w:hAnsiTheme="majorHAnsi" w:cstheme="majorHAnsi"/>
              </w:rPr>
              <w:t xml:space="preserve">the </w:t>
            </w:r>
            <w:r w:rsidRPr="006B02C2">
              <w:rPr>
                <w:rFonts w:asciiTheme="majorHAnsi" w:eastAsia="Open Sans" w:hAnsiTheme="majorHAnsi" w:cstheme="majorHAnsi"/>
              </w:rPr>
              <w:t>wider team involved in payroll and pensions.</w:t>
            </w:r>
          </w:p>
          <w:p w14:paraId="325B8AE6" w14:textId="43304029" w:rsidR="00E102FF" w:rsidRDefault="00E102FF" w:rsidP="00E102FF">
            <w:pPr>
              <w:pStyle w:val="ListParagraph"/>
              <w:numPr>
                <w:ilvl w:val="0"/>
                <w:numId w:val="4"/>
              </w:numPr>
              <w:rPr>
                <w:rFonts w:asciiTheme="majorHAnsi" w:eastAsia="Open Sans" w:hAnsiTheme="majorHAnsi" w:cstheme="majorHAnsi"/>
              </w:rPr>
            </w:pPr>
            <w:r>
              <w:rPr>
                <w:rFonts w:asciiTheme="majorHAnsi" w:eastAsia="Open Sans" w:hAnsiTheme="majorHAnsi" w:cstheme="majorHAnsi"/>
              </w:rPr>
              <w:t>Brief the wider People team and employees on payroll and pensions updates and benefits.</w:t>
            </w:r>
          </w:p>
          <w:p w14:paraId="56E16646" w14:textId="671FD4A2" w:rsidR="00E102FF" w:rsidRDefault="00E102FF" w:rsidP="00E102FF">
            <w:pPr>
              <w:pStyle w:val="ListParagraph"/>
              <w:numPr>
                <w:ilvl w:val="0"/>
                <w:numId w:val="4"/>
              </w:numPr>
              <w:rPr>
                <w:rFonts w:asciiTheme="majorHAnsi" w:eastAsia="Open Sans" w:hAnsiTheme="majorHAnsi" w:cstheme="majorHAnsi"/>
              </w:rPr>
            </w:pPr>
            <w:r>
              <w:rPr>
                <w:rFonts w:asciiTheme="majorHAnsi" w:eastAsia="Open Sans" w:hAnsiTheme="majorHAnsi" w:cstheme="majorHAnsi"/>
              </w:rPr>
              <w:t>Prepare and submit required reports, such as Gender Pay Gap</w:t>
            </w:r>
            <w:r w:rsidR="00353222">
              <w:rPr>
                <w:rFonts w:asciiTheme="majorHAnsi" w:eastAsia="Open Sans" w:hAnsiTheme="majorHAnsi" w:cstheme="majorHAnsi"/>
              </w:rPr>
              <w:t xml:space="preserve"> reports</w:t>
            </w:r>
            <w:r w:rsidR="00BD1F1A">
              <w:rPr>
                <w:rFonts w:asciiTheme="majorHAnsi" w:eastAsia="Open Sans" w:hAnsiTheme="majorHAnsi" w:cstheme="majorHAnsi"/>
              </w:rPr>
              <w:t>, P11D,</w:t>
            </w:r>
            <w:r w:rsidR="00353222">
              <w:rPr>
                <w:rFonts w:asciiTheme="majorHAnsi" w:eastAsia="Open Sans" w:hAnsiTheme="majorHAnsi" w:cstheme="majorHAnsi"/>
              </w:rPr>
              <w:t xml:space="preserve"> and</w:t>
            </w:r>
            <w:r>
              <w:rPr>
                <w:rFonts w:asciiTheme="majorHAnsi" w:eastAsia="Open Sans" w:hAnsiTheme="majorHAnsi" w:cstheme="majorHAnsi"/>
              </w:rPr>
              <w:t xml:space="preserve"> Annual Returns</w:t>
            </w:r>
            <w:r w:rsidR="00353222">
              <w:rPr>
                <w:rFonts w:asciiTheme="majorHAnsi" w:eastAsia="Open Sans" w:hAnsiTheme="majorHAnsi" w:cstheme="majorHAnsi"/>
              </w:rPr>
              <w:t>.</w:t>
            </w:r>
          </w:p>
          <w:p w14:paraId="04CCBA06" w14:textId="7197BDD8" w:rsidR="00BC1DAA" w:rsidRDefault="00BC1DAA" w:rsidP="00E102FF">
            <w:pPr>
              <w:pStyle w:val="ListParagraph"/>
              <w:numPr>
                <w:ilvl w:val="0"/>
                <w:numId w:val="4"/>
              </w:numPr>
              <w:rPr>
                <w:rFonts w:asciiTheme="majorHAnsi" w:eastAsia="Open Sans" w:hAnsiTheme="majorHAnsi" w:cstheme="majorHAnsi"/>
              </w:rPr>
            </w:pPr>
            <w:r>
              <w:rPr>
                <w:rFonts w:asciiTheme="majorHAnsi" w:eastAsia="Open Sans" w:hAnsiTheme="majorHAnsi" w:cstheme="majorHAnsi"/>
              </w:rPr>
              <w:t>Manage the central payroll inbox, responding to or redirecting queries as appropriate.</w:t>
            </w:r>
          </w:p>
          <w:p w14:paraId="56B502C8" w14:textId="48611D6C" w:rsidR="006B02C2" w:rsidRDefault="006B02C2" w:rsidP="006B02C2">
            <w:pPr>
              <w:pStyle w:val="ListParagraph"/>
              <w:numPr>
                <w:ilvl w:val="0"/>
                <w:numId w:val="4"/>
              </w:numPr>
              <w:rPr>
                <w:rFonts w:asciiTheme="majorHAnsi" w:eastAsia="Open Sans" w:hAnsiTheme="majorHAnsi" w:cstheme="majorHAnsi"/>
              </w:rPr>
            </w:pPr>
            <w:r>
              <w:rPr>
                <w:rFonts w:asciiTheme="majorHAnsi" w:eastAsia="Open Sans" w:hAnsiTheme="majorHAnsi" w:cstheme="majorHAnsi"/>
              </w:rPr>
              <w:t>Liai</w:t>
            </w:r>
            <w:r w:rsidR="001908A1">
              <w:rPr>
                <w:rFonts w:asciiTheme="majorHAnsi" w:eastAsia="Open Sans" w:hAnsiTheme="majorHAnsi" w:cstheme="majorHAnsi"/>
              </w:rPr>
              <w:t>se</w:t>
            </w:r>
            <w:r>
              <w:rPr>
                <w:rFonts w:asciiTheme="majorHAnsi" w:eastAsia="Open Sans" w:hAnsiTheme="majorHAnsi" w:cstheme="majorHAnsi"/>
              </w:rPr>
              <w:t xml:space="preserve"> with</w:t>
            </w:r>
            <w:r w:rsidR="00353222">
              <w:rPr>
                <w:rFonts w:asciiTheme="majorHAnsi" w:eastAsia="Open Sans" w:hAnsiTheme="majorHAnsi" w:cstheme="majorHAnsi"/>
              </w:rPr>
              <w:t xml:space="preserve"> the</w:t>
            </w:r>
            <w:r>
              <w:rPr>
                <w:rFonts w:asciiTheme="majorHAnsi" w:eastAsia="Open Sans" w:hAnsiTheme="majorHAnsi" w:cstheme="majorHAnsi"/>
              </w:rPr>
              <w:t xml:space="preserve"> GLF Finance team to ensure</w:t>
            </w:r>
            <w:r w:rsidR="00353222">
              <w:rPr>
                <w:rFonts w:asciiTheme="majorHAnsi" w:eastAsia="Open Sans" w:hAnsiTheme="majorHAnsi" w:cstheme="majorHAnsi"/>
              </w:rPr>
              <w:t xml:space="preserve"> accurate recording and monitoring of</w:t>
            </w:r>
            <w:r>
              <w:rPr>
                <w:rFonts w:asciiTheme="majorHAnsi" w:eastAsia="Open Sans" w:hAnsiTheme="majorHAnsi" w:cstheme="majorHAnsi"/>
              </w:rPr>
              <w:t xml:space="preserve"> financial data</w:t>
            </w:r>
            <w:r w:rsidR="00353222">
              <w:rPr>
                <w:rFonts w:asciiTheme="majorHAnsi" w:eastAsia="Open Sans" w:hAnsiTheme="majorHAnsi" w:cstheme="majorHAnsi"/>
              </w:rPr>
              <w:t>.</w:t>
            </w:r>
          </w:p>
          <w:p w14:paraId="59C1164D" w14:textId="7F14A7AB" w:rsidR="006B02C2" w:rsidRDefault="006B02C2" w:rsidP="006B02C2">
            <w:pPr>
              <w:pStyle w:val="ListParagraph"/>
              <w:numPr>
                <w:ilvl w:val="0"/>
                <w:numId w:val="4"/>
              </w:numPr>
              <w:rPr>
                <w:rFonts w:asciiTheme="majorHAnsi" w:eastAsia="Open Sans" w:hAnsiTheme="majorHAnsi" w:cstheme="majorHAnsi"/>
              </w:rPr>
            </w:pPr>
            <w:r>
              <w:rPr>
                <w:rFonts w:asciiTheme="majorHAnsi" w:eastAsia="Open Sans" w:hAnsiTheme="majorHAnsi" w:cstheme="majorHAnsi"/>
              </w:rPr>
              <w:t>Support People projects and</w:t>
            </w:r>
            <w:r w:rsidR="00353222">
              <w:rPr>
                <w:rFonts w:asciiTheme="majorHAnsi" w:eastAsia="Open Sans" w:hAnsiTheme="majorHAnsi" w:cstheme="majorHAnsi"/>
              </w:rPr>
              <w:t xml:space="preserve"> contribute to the broader work</w:t>
            </w:r>
            <w:r>
              <w:rPr>
                <w:rFonts w:asciiTheme="majorHAnsi" w:eastAsia="Open Sans" w:hAnsiTheme="majorHAnsi" w:cstheme="majorHAnsi"/>
              </w:rPr>
              <w:t xml:space="preserve"> of the People Team.</w:t>
            </w:r>
          </w:p>
          <w:p w14:paraId="7197A115" w14:textId="22BE9092" w:rsidR="00BB06C0" w:rsidRPr="001908A1" w:rsidRDefault="00353222" w:rsidP="006B02C2">
            <w:pPr>
              <w:pStyle w:val="ListParagraph"/>
              <w:numPr>
                <w:ilvl w:val="0"/>
                <w:numId w:val="4"/>
              </w:numPr>
              <w:rPr>
                <w:rFonts w:asciiTheme="majorHAnsi" w:eastAsia="Open Sans" w:hAnsiTheme="majorHAnsi" w:cstheme="majorHAnsi"/>
              </w:rPr>
            </w:pPr>
            <w:r>
              <w:rPr>
                <w:rFonts w:asciiTheme="majorHAnsi" w:eastAsia="Open Sans" w:hAnsiTheme="majorHAnsi" w:cstheme="majorHAnsi"/>
              </w:rPr>
              <w:t>Adhere to</w:t>
            </w:r>
            <w:r w:rsidR="006B02C2" w:rsidRPr="006B02C2">
              <w:rPr>
                <w:rFonts w:asciiTheme="majorHAnsi" w:eastAsia="Open Sans" w:hAnsiTheme="majorHAnsi" w:cstheme="majorHAnsi"/>
              </w:rPr>
              <w:t xml:space="preserve"> GLF Safeguarding procedures and the requirements of GDPR.</w:t>
            </w:r>
          </w:p>
        </w:tc>
      </w:tr>
      <w:tr w:rsidR="00DE12F4" w:rsidRPr="00347AB2" w14:paraId="7197A118" w14:textId="77777777">
        <w:tc>
          <w:tcPr>
            <w:tcW w:w="9016" w:type="dxa"/>
            <w:gridSpan w:val="4"/>
            <w:shd w:val="clear" w:color="auto" w:fill="DBE5F1"/>
          </w:tcPr>
          <w:p w14:paraId="7197A117" w14:textId="77777777" w:rsidR="00DE12F4" w:rsidRPr="00347AB2" w:rsidRDefault="00C00F36">
            <w:pPr>
              <w:rPr>
                <w:rFonts w:asciiTheme="majorHAnsi" w:eastAsia="Open Sans" w:hAnsiTheme="majorHAnsi" w:cstheme="majorHAnsi"/>
              </w:rPr>
            </w:pPr>
            <w:r w:rsidRPr="00347AB2">
              <w:rPr>
                <w:rFonts w:asciiTheme="majorHAnsi" w:eastAsia="Open Sans" w:hAnsiTheme="majorHAnsi" w:cstheme="majorHAnsi"/>
              </w:rPr>
              <w:t xml:space="preserve">Accountability </w:t>
            </w:r>
          </w:p>
        </w:tc>
      </w:tr>
      <w:tr w:rsidR="00DE12F4" w:rsidRPr="00347AB2" w14:paraId="7197A11D" w14:textId="77777777">
        <w:tc>
          <w:tcPr>
            <w:tcW w:w="9016" w:type="dxa"/>
            <w:gridSpan w:val="4"/>
          </w:tcPr>
          <w:p w14:paraId="22C5B99C" w14:textId="4F1DD9CB" w:rsidR="00E102FF" w:rsidRDefault="00B165E0" w:rsidP="00E102FF">
            <w:pPr>
              <w:pStyle w:val="ListParagraph"/>
              <w:numPr>
                <w:ilvl w:val="0"/>
                <w:numId w:val="5"/>
              </w:numPr>
              <w:rPr>
                <w:rFonts w:asciiTheme="majorHAnsi" w:eastAsia="Open Sans" w:hAnsiTheme="majorHAnsi" w:cstheme="majorHAnsi"/>
              </w:rPr>
            </w:pPr>
            <w:r>
              <w:rPr>
                <w:rFonts w:asciiTheme="majorHAnsi" w:eastAsia="Open Sans" w:hAnsiTheme="majorHAnsi" w:cstheme="majorHAnsi"/>
              </w:rPr>
              <w:t xml:space="preserve">Accountable to Head of Compensation &amp; Benefits and Chief People </w:t>
            </w:r>
            <w:r w:rsidR="003F368F">
              <w:rPr>
                <w:rFonts w:asciiTheme="majorHAnsi" w:eastAsia="Open Sans" w:hAnsiTheme="majorHAnsi" w:cstheme="majorHAnsi"/>
              </w:rPr>
              <w:t>Coordinator</w:t>
            </w:r>
            <w:r w:rsidR="001908A1">
              <w:rPr>
                <w:rFonts w:asciiTheme="majorHAnsi" w:eastAsia="Open Sans" w:hAnsiTheme="majorHAnsi" w:cstheme="majorHAnsi"/>
              </w:rPr>
              <w:t>.</w:t>
            </w:r>
          </w:p>
          <w:p w14:paraId="7197A11C" w14:textId="25D148DB" w:rsidR="00BB06C0" w:rsidRPr="00347AB2" w:rsidRDefault="00E102FF" w:rsidP="00E102FF">
            <w:pPr>
              <w:pStyle w:val="ListParagraph"/>
              <w:numPr>
                <w:ilvl w:val="0"/>
                <w:numId w:val="5"/>
              </w:numPr>
              <w:rPr>
                <w:rFonts w:asciiTheme="majorHAnsi" w:eastAsia="Open Sans" w:hAnsiTheme="majorHAnsi" w:cstheme="majorHAnsi"/>
              </w:rPr>
            </w:pPr>
            <w:r w:rsidRPr="00E102FF">
              <w:rPr>
                <w:rFonts w:asciiTheme="majorHAnsi" w:eastAsia="Open Sans" w:hAnsiTheme="majorHAnsi" w:cstheme="majorHAnsi"/>
              </w:rPr>
              <w:t>GLF Schools expects its employees to work flexibly within the framework of the duties and responsibilities above. This means that the post holder may be expected to carry out work that is not specified in the job profile, but which is within the remit of the duties and responsibilities.</w:t>
            </w:r>
          </w:p>
        </w:tc>
      </w:tr>
      <w:tr w:rsidR="00DE12F4" w:rsidRPr="00347AB2" w14:paraId="7197A11F" w14:textId="77777777">
        <w:tc>
          <w:tcPr>
            <w:tcW w:w="9016" w:type="dxa"/>
            <w:gridSpan w:val="4"/>
            <w:shd w:val="clear" w:color="auto" w:fill="DBE5F1"/>
          </w:tcPr>
          <w:p w14:paraId="7197A11E" w14:textId="77777777" w:rsidR="00DE12F4" w:rsidRPr="00347AB2" w:rsidRDefault="00C00F36">
            <w:pPr>
              <w:rPr>
                <w:rFonts w:asciiTheme="majorHAnsi" w:eastAsia="Open Sans" w:hAnsiTheme="majorHAnsi" w:cstheme="majorHAnsi"/>
              </w:rPr>
            </w:pPr>
            <w:r w:rsidRPr="00347AB2">
              <w:rPr>
                <w:rFonts w:asciiTheme="majorHAnsi" w:eastAsia="Open Sans" w:hAnsiTheme="majorHAnsi" w:cstheme="majorHAnsi"/>
              </w:rPr>
              <w:t>Safeguarding</w:t>
            </w:r>
          </w:p>
        </w:tc>
      </w:tr>
      <w:tr w:rsidR="00DE12F4" w:rsidRPr="00347AB2" w14:paraId="7197A122" w14:textId="77777777">
        <w:tc>
          <w:tcPr>
            <w:tcW w:w="9016" w:type="dxa"/>
            <w:gridSpan w:val="4"/>
          </w:tcPr>
          <w:p w14:paraId="7197A120" w14:textId="77777777" w:rsidR="00DE12F4" w:rsidRPr="00347AB2" w:rsidRDefault="00C00F36">
            <w:pPr>
              <w:spacing w:line="276" w:lineRule="auto"/>
              <w:rPr>
                <w:rFonts w:asciiTheme="majorHAnsi" w:hAnsiTheme="majorHAnsi" w:cstheme="majorHAnsi"/>
              </w:rPr>
            </w:pPr>
            <w:r w:rsidRPr="00347AB2">
              <w:rPr>
                <w:rFonts w:asciiTheme="majorHAnsi" w:hAnsiTheme="majorHAnsi" w:cstheme="majorHAnsi"/>
              </w:rPr>
              <w:t>GLF Schools is committed to safeguarding and promoting the welfare of children, young people and vulnerable adults and expects all staff and volunteers to share this commitment. The successful candidate will have to meet the person specification and will be required to apply for a DBS disclosure. We particularly welcome applicants from under- represented groups including those based on ethnicity, gender, transgender, age, disability, sexual orientation or religion</w:t>
            </w:r>
          </w:p>
          <w:p w14:paraId="7197A121" w14:textId="77777777" w:rsidR="00DE12F4" w:rsidRPr="00347AB2" w:rsidRDefault="00DE12F4">
            <w:pPr>
              <w:rPr>
                <w:rFonts w:asciiTheme="majorHAnsi" w:hAnsiTheme="majorHAnsi" w:cstheme="majorHAnsi"/>
              </w:rPr>
            </w:pPr>
          </w:p>
        </w:tc>
      </w:tr>
    </w:tbl>
    <w:p w14:paraId="7197A123" w14:textId="77777777" w:rsidR="00DE12F4" w:rsidRPr="00347AB2" w:rsidRDefault="00DE12F4">
      <w:pPr>
        <w:rPr>
          <w:rFonts w:asciiTheme="majorHAnsi" w:hAnsiTheme="majorHAnsi" w:cstheme="majorHAnsi"/>
        </w:rPr>
      </w:pPr>
    </w:p>
    <w:sectPr w:rsidR="00DE12F4" w:rsidRPr="00347AB2">
      <w:headerReference w:type="default" r:id="rId7"/>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F1A96D" w14:textId="77777777" w:rsidR="00587D91" w:rsidRDefault="00587D91">
      <w:pPr>
        <w:spacing w:line="240" w:lineRule="auto"/>
      </w:pPr>
      <w:r>
        <w:separator/>
      </w:r>
    </w:p>
  </w:endnote>
  <w:endnote w:type="continuationSeparator" w:id="0">
    <w:p w14:paraId="7CCF14D8" w14:textId="77777777" w:rsidR="00587D91" w:rsidRDefault="00587D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 Sans Light">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D78DE7" w14:textId="77777777" w:rsidR="00587D91" w:rsidRDefault="00587D91">
      <w:pPr>
        <w:spacing w:line="240" w:lineRule="auto"/>
      </w:pPr>
      <w:r>
        <w:separator/>
      </w:r>
    </w:p>
  </w:footnote>
  <w:footnote w:type="continuationSeparator" w:id="0">
    <w:p w14:paraId="3281827E" w14:textId="77777777" w:rsidR="00587D91" w:rsidRDefault="00587D9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7A124" w14:textId="77777777" w:rsidR="00DE12F4" w:rsidRDefault="00C00F36">
    <w:pPr>
      <w:pBdr>
        <w:top w:val="nil"/>
        <w:left w:val="nil"/>
        <w:bottom w:val="nil"/>
        <w:right w:val="nil"/>
        <w:between w:val="nil"/>
      </w:pBdr>
      <w:tabs>
        <w:tab w:val="center" w:pos="4513"/>
        <w:tab w:val="right" w:pos="9026"/>
      </w:tabs>
      <w:spacing w:line="240" w:lineRule="auto"/>
      <w:rPr>
        <w:color w:val="000000"/>
      </w:rPr>
    </w:pPr>
    <w:r>
      <w:rPr>
        <w:color w:val="000000"/>
      </w:rPr>
      <w:tab/>
    </w:r>
    <w:r>
      <w:rPr>
        <w:color w:val="000000"/>
      </w:rPr>
      <w:tab/>
    </w:r>
    <w:r>
      <w:rPr>
        <w:color w:val="000000"/>
      </w:rPr>
      <w:tab/>
    </w:r>
    <w:r>
      <w:rPr>
        <w:color w:val="000000"/>
      </w:rPr>
      <w:tab/>
    </w:r>
    <w:r>
      <w:rPr>
        <w:color w:val="000000"/>
      </w:rPr>
      <w:tab/>
    </w:r>
    <w:r>
      <w:rPr>
        <w:noProof/>
      </w:rPr>
      <w:drawing>
        <wp:anchor distT="0" distB="0" distL="114300" distR="114300" simplePos="0" relativeHeight="251658240" behindDoc="0" locked="0" layoutInCell="1" hidden="0" allowOverlap="1" wp14:anchorId="7197A125" wp14:editId="7197A126">
          <wp:simplePos x="0" y="0"/>
          <wp:positionH relativeFrom="column">
            <wp:posOffset>-571499</wp:posOffset>
          </wp:positionH>
          <wp:positionV relativeFrom="paragraph">
            <wp:posOffset>-257174</wp:posOffset>
          </wp:positionV>
          <wp:extent cx="976413" cy="723900"/>
          <wp:effectExtent l="0" t="0" r="0" b="0"/>
          <wp:wrapNone/>
          <wp:docPr id="1" name="image1.jpg" descr="E:\GLF Logos\GLF_CMYK_Multi.jpg"/>
          <wp:cNvGraphicFramePr/>
          <a:graphic xmlns:a="http://schemas.openxmlformats.org/drawingml/2006/main">
            <a:graphicData uri="http://schemas.openxmlformats.org/drawingml/2006/picture">
              <pic:pic xmlns:pic="http://schemas.openxmlformats.org/drawingml/2006/picture">
                <pic:nvPicPr>
                  <pic:cNvPr id="0" name="image1.jpg" descr="E:\GLF Logos\GLF_CMYK_Multi.jpg"/>
                  <pic:cNvPicPr preferRelativeResize="0"/>
                </pic:nvPicPr>
                <pic:blipFill>
                  <a:blip r:embed="rId1"/>
                  <a:srcRect l="13032" t="14185" r="14894" b="16263"/>
                  <a:stretch>
                    <a:fillRect/>
                  </a:stretch>
                </pic:blipFill>
                <pic:spPr>
                  <a:xfrm>
                    <a:off x="0" y="0"/>
                    <a:ext cx="976413" cy="7239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8F611B"/>
    <w:multiLevelType w:val="multilevel"/>
    <w:tmpl w:val="0358AC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3DC2211"/>
    <w:multiLevelType w:val="multilevel"/>
    <w:tmpl w:val="5818E5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EE0213C"/>
    <w:multiLevelType w:val="hybridMultilevel"/>
    <w:tmpl w:val="8092D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041DF2"/>
    <w:multiLevelType w:val="multilevel"/>
    <w:tmpl w:val="27CACB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E480AFA"/>
    <w:multiLevelType w:val="hybridMultilevel"/>
    <w:tmpl w:val="AB3ED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9A5FE5"/>
    <w:multiLevelType w:val="hybridMultilevel"/>
    <w:tmpl w:val="4FA4D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4060638">
    <w:abstractNumId w:val="3"/>
  </w:num>
  <w:num w:numId="2" w16cid:durableId="2081441451">
    <w:abstractNumId w:val="1"/>
  </w:num>
  <w:num w:numId="3" w16cid:durableId="2097363009">
    <w:abstractNumId w:val="0"/>
  </w:num>
  <w:num w:numId="4" w16cid:durableId="1345209588">
    <w:abstractNumId w:val="5"/>
  </w:num>
  <w:num w:numId="5" w16cid:durableId="658735027">
    <w:abstractNumId w:val="2"/>
  </w:num>
  <w:num w:numId="6" w16cid:durableId="7835027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2F4"/>
    <w:rsid w:val="00032032"/>
    <w:rsid w:val="000437D5"/>
    <w:rsid w:val="00096CB0"/>
    <w:rsid w:val="000C5261"/>
    <w:rsid w:val="001200A5"/>
    <w:rsid w:val="001335A4"/>
    <w:rsid w:val="00160821"/>
    <w:rsid w:val="001908A1"/>
    <w:rsid w:val="001E3D85"/>
    <w:rsid w:val="00202A0A"/>
    <w:rsid w:val="00267B8A"/>
    <w:rsid w:val="002C435D"/>
    <w:rsid w:val="002C69D1"/>
    <w:rsid w:val="00327154"/>
    <w:rsid w:val="00347AB2"/>
    <w:rsid w:val="00353222"/>
    <w:rsid w:val="0038160B"/>
    <w:rsid w:val="003B49D8"/>
    <w:rsid w:val="003B5147"/>
    <w:rsid w:val="003F368F"/>
    <w:rsid w:val="004148AE"/>
    <w:rsid w:val="004437D9"/>
    <w:rsid w:val="004911B7"/>
    <w:rsid w:val="004B74A7"/>
    <w:rsid w:val="004F42DE"/>
    <w:rsid w:val="00555D35"/>
    <w:rsid w:val="005732FD"/>
    <w:rsid w:val="00587D91"/>
    <w:rsid w:val="005E452F"/>
    <w:rsid w:val="006609EC"/>
    <w:rsid w:val="006B02C2"/>
    <w:rsid w:val="006C4066"/>
    <w:rsid w:val="00777CDA"/>
    <w:rsid w:val="0079694F"/>
    <w:rsid w:val="007A2296"/>
    <w:rsid w:val="007A7A54"/>
    <w:rsid w:val="007B08F8"/>
    <w:rsid w:val="007D7331"/>
    <w:rsid w:val="007E0EC8"/>
    <w:rsid w:val="007E2411"/>
    <w:rsid w:val="007F14E3"/>
    <w:rsid w:val="0089316C"/>
    <w:rsid w:val="0093028E"/>
    <w:rsid w:val="009C46CE"/>
    <w:rsid w:val="009E6755"/>
    <w:rsid w:val="009F4D0A"/>
    <w:rsid w:val="00A0454D"/>
    <w:rsid w:val="00AA784B"/>
    <w:rsid w:val="00AE16DD"/>
    <w:rsid w:val="00B1068E"/>
    <w:rsid w:val="00B10A65"/>
    <w:rsid w:val="00B165E0"/>
    <w:rsid w:val="00B16E52"/>
    <w:rsid w:val="00BB06C0"/>
    <w:rsid w:val="00BC1DAA"/>
    <w:rsid w:val="00BD1F1A"/>
    <w:rsid w:val="00C00F36"/>
    <w:rsid w:val="00CA1117"/>
    <w:rsid w:val="00CA1DB9"/>
    <w:rsid w:val="00CB2F4A"/>
    <w:rsid w:val="00D15A0C"/>
    <w:rsid w:val="00D97B58"/>
    <w:rsid w:val="00DC36AA"/>
    <w:rsid w:val="00DE12F4"/>
    <w:rsid w:val="00E102FF"/>
    <w:rsid w:val="00E26447"/>
    <w:rsid w:val="00ED1CC5"/>
    <w:rsid w:val="00F127D8"/>
    <w:rsid w:val="00F36632"/>
    <w:rsid w:val="00F643CF"/>
    <w:rsid w:val="00F916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7A0EA"/>
  <w15:docId w15:val="{7A044ADE-8E6B-4A03-A3C9-F0E642A94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Light" w:eastAsia="Open Sans Light" w:hAnsi="Open Sans Light" w:cs="Open Sans Light"/>
        <w:sz w:val="22"/>
        <w:szCs w:val="22"/>
        <w:lang w:val="en-GB" w:eastAsia="en-GB"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Pr>
  </w:style>
  <w:style w:type="paragraph" w:styleId="ListParagraph">
    <w:name w:val="List Paragraph"/>
    <w:basedOn w:val="Normal"/>
    <w:uiPriority w:val="34"/>
    <w:qFormat/>
    <w:rsid w:val="007A7A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Sullivan</dc:creator>
  <cp:lastModifiedBy>Katie Sullivan</cp:lastModifiedBy>
  <cp:revision>2</cp:revision>
  <cp:lastPrinted>2025-03-03T13:49:00Z</cp:lastPrinted>
  <dcterms:created xsi:type="dcterms:W3CDTF">2025-03-03T13:50:00Z</dcterms:created>
  <dcterms:modified xsi:type="dcterms:W3CDTF">2025-03-03T13:50:00Z</dcterms:modified>
</cp:coreProperties>
</file>