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sidf74qugz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Person Specification – Premises Manager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nuymurzjm85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Qualifications &amp; Training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Essential: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Good standard of general education (e.g. GCSEs or equivalent)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health and safety awareness training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Desirable: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Relevant qualification in facilities management, building maintenance, or health &amp; safety (e.g. IOSH, NEBOSH)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 in Portable Appliance Testing (PAT) or similar premises-related areas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Certification in areas such as fire safety, legionella awareness, or asbestos management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t37vzvr9ldd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Essential: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Proven experience in premises, site, or facilities management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carrying out general maintenance and minor repairs (e.g. plumbing, decorating, basic electrical work)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supervising contractors and/or cleaning staff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maintaining safe working environments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Desirable: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Experience working in a school or educational setting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managing planned preventative maintenance (PPM) programmes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of compliance monitoring and record keeping for statutory checks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6kykqqpjsfl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Knowledge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Essential: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Good understanding of health and safety legislation and safe working practices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Knowledge of building maintenance systems (heating, plumbing, electrical basics)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Understanding of risk assessments and hazard identification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Knowledge of Legionella Control procedures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Knowledge of fire safety systems, emergency procedures, and compliance standards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Understanding of COSHH regulations and safe chemical handling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Desirable: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Awareness of Asbestos Management requirements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utzdmupch0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Skills &amp; Abilities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Essential: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Ability to carry out a wide range of practical maintenance tasks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organisational and time management skills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prioritise workload and respond effectively to emergencies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Good communication and interpersonal skills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work independently and use initiative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Competent IT and administrative skills (record keeping, emails, basic systems)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Desirable: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Ability to manage multiple contractors and projects simultaneously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Budget monitoring and basic financial management skills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3y0phn4j34k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Personal Qualities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Essential: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Reliable, responsible and trustworthy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Proactive and self-motivated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Flexible and adaptable approach to work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attention to detail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Calm under pressure, particularly in emergency situations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Commitment to safeguarding and promoting the welfare of children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d8xqulk7nmn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Additional Requirements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Essential: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Willingness to work flexibly, including occasional out-of-hours duties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act as a key holder and attend emergency call-outs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Enhanced DBS clearance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Physically सक्षम to undertake manual handling and site duties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Desirable: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Full UK driving licence and access to own vehicle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