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color w:val="666666"/>
          <w:highlight w:val="yellow"/>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4407225</wp:posOffset>
            </wp:positionH>
            <wp:positionV relativeFrom="paragraph">
              <wp:posOffset>0</wp:posOffset>
            </wp:positionV>
            <wp:extent cx="1323218" cy="833138"/>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23218" cy="833138"/>
                    </a:xfrm>
                    <a:prstGeom prst="rect"/>
                    <a:ln/>
                  </pic:spPr>
                </pic:pic>
              </a:graphicData>
            </a:graphic>
          </wp:anchor>
        </w:drawing>
      </w:r>
    </w:p>
    <w:p w:rsidR="00000000" w:rsidDel="00000000" w:rsidP="00000000" w:rsidRDefault="00000000" w:rsidRPr="00000000" w14:paraId="00000002">
      <w:pPr>
        <w:pageBreakBefore w:val="0"/>
        <w:rPr>
          <w:color w:val="666666"/>
          <w:highlight w:val="yellow"/>
        </w:rPr>
      </w:pPr>
      <w:r w:rsidDel="00000000" w:rsidR="00000000" w:rsidRPr="00000000">
        <w:rPr>
          <w:rtl w:val="0"/>
        </w:rPr>
      </w:r>
    </w:p>
    <w:p w:rsidR="00000000" w:rsidDel="00000000" w:rsidP="00000000" w:rsidRDefault="00000000" w:rsidRPr="00000000" w14:paraId="00000003">
      <w:pPr>
        <w:pageBreakBefore w:val="0"/>
        <w:rPr>
          <w:color w:val="666666"/>
          <w:highlight w:val="yellow"/>
        </w:rPr>
      </w:pPr>
      <w:r w:rsidDel="00000000" w:rsidR="00000000" w:rsidRPr="00000000">
        <w:rPr>
          <w:rtl w:val="0"/>
        </w:rPr>
      </w:r>
    </w:p>
    <w:p w:rsidR="00000000" w:rsidDel="00000000" w:rsidP="00000000" w:rsidRDefault="00000000" w:rsidRPr="00000000" w14:paraId="00000004">
      <w:pPr>
        <w:pageBreakBefore w:val="0"/>
        <w:rPr>
          <w:color w:val="666666"/>
          <w:highlight w:val="yellow"/>
        </w:rPr>
      </w:pPr>
      <w:r w:rsidDel="00000000" w:rsidR="00000000" w:rsidRPr="00000000">
        <w:rPr>
          <w:rtl w:val="0"/>
        </w:rPr>
      </w:r>
    </w:p>
    <w:p w:rsidR="00000000" w:rsidDel="00000000" w:rsidP="00000000" w:rsidRDefault="00000000" w:rsidRPr="00000000" w14:paraId="00000005">
      <w:pPr>
        <w:pageBreakBefore w:val="0"/>
        <w:rPr>
          <w:color w:val="666666"/>
          <w:highlight w:val="yellow"/>
        </w:rPr>
      </w:pPr>
      <w:r w:rsidDel="00000000" w:rsidR="00000000" w:rsidRPr="00000000">
        <w:rPr>
          <w:rtl w:val="0"/>
        </w:rPr>
      </w:r>
    </w:p>
    <w:p w:rsidR="00000000" w:rsidDel="00000000" w:rsidP="00000000" w:rsidRDefault="00000000" w:rsidRPr="00000000" w14:paraId="00000006">
      <w:pPr>
        <w:pageBreakBefore w:val="0"/>
        <w:rPr>
          <w:color w:val="666666"/>
          <w:highlight w:val="yellow"/>
        </w:rPr>
      </w:pPr>
      <w:r w:rsidDel="00000000" w:rsidR="00000000" w:rsidRPr="00000000">
        <w:rPr>
          <w:rtl w:val="0"/>
        </w:rPr>
      </w:r>
    </w:p>
    <w:p w:rsidR="00000000" w:rsidDel="00000000" w:rsidP="00000000" w:rsidRDefault="00000000" w:rsidRPr="00000000" w14:paraId="00000007">
      <w:pPr>
        <w:pageBreakBefore w:val="0"/>
        <w:jc w:val="center"/>
        <w:rPr>
          <w:color w:val="666666"/>
          <w:highlight w:val="yellow"/>
        </w:rPr>
      </w:pPr>
      <w:r w:rsidDel="00000000" w:rsidR="00000000" w:rsidRPr="00000000">
        <w:rPr>
          <w:rtl w:val="0"/>
        </w:rPr>
      </w:r>
    </w:p>
    <w:p w:rsidR="00000000" w:rsidDel="00000000" w:rsidP="00000000" w:rsidRDefault="00000000" w:rsidRPr="00000000" w14:paraId="00000008">
      <w:pPr>
        <w:pageBreakBefore w:val="0"/>
        <w:rPr>
          <w:color w:val="666666"/>
          <w:highlight w:val="yellow"/>
        </w:rPr>
      </w:pPr>
      <w:r w:rsidDel="00000000" w:rsidR="00000000" w:rsidRPr="00000000">
        <w:rPr>
          <w:rtl w:val="0"/>
        </w:rPr>
      </w:r>
    </w:p>
    <w:p w:rsidR="00000000" w:rsidDel="00000000" w:rsidP="00000000" w:rsidRDefault="00000000" w:rsidRPr="00000000" w14:paraId="00000009">
      <w:pPr>
        <w:pageBreakBefore w:val="0"/>
        <w:rPr>
          <w:color w:val="666666"/>
          <w:highlight w:val="yellow"/>
        </w:rPr>
      </w:pPr>
      <w:r w:rsidDel="00000000" w:rsidR="00000000" w:rsidRPr="00000000">
        <w:rPr>
          <w:rtl w:val="0"/>
        </w:rPr>
      </w:r>
    </w:p>
    <w:p w:rsidR="00000000" w:rsidDel="00000000" w:rsidP="00000000" w:rsidRDefault="00000000" w:rsidRPr="00000000" w14:paraId="0000000A">
      <w:pPr>
        <w:pageBreakBefore w:val="0"/>
        <w:rPr>
          <w:color w:val="666666"/>
          <w:highlight w:val="yellow"/>
        </w:rPr>
      </w:pPr>
      <w:r w:rsidDel="00000000" w:rsidR="00000000" w:rsidRPr="00000000">
        <w:rPr>
          <w:rtl w:val="0"/>
        </w:rPr>
      </w:r>
    </w:p>
    <w:p w:rsidR="00000000" w:rsidDel="00000000" w:rsidP="00000000" w:rsidRDefault="00000000" w:rsidRPr="00000000" w14:paraId="0000000B">
      <w:pPr>
        <w:pageBreakBefore w:val="0"/>
        <w:rPr>
          <w:color w:val="666666"/>
          <w:highlight w:val="yellow"/>
        </w:rPr>
      </w:pPr>
      <w:r w:rsidDel="00000000" w:rsidR="00000000" w:rsidRPr="00000000">
        <w:rPr>
          <w:rtl w:val="0"/>
        </w:rPr>
      </w:r>
    </w:p>
    <w:p w:rsidR="00000000" w:rsidDel="00000000" w:rsidP="00000000" w:rsidRDefault="00000000" w:rsidRPr="00000000" w14:paraId="0000000C">
      <w:pPr>
        <w:pageBreakBefore w:val="0"/>
        <w:rPr>
          <w:color w:val="666666"/>
          <w:highlight w:val="yellow"/>
        </w:rPr>
      </w:pPr>
      <w:r w:rsidDel="00000000" w:rsidR="00000000" w:rsidRPr="00000000">
        <w:rPr>
          <w:rtl w:val="0"/>
        </w:rPr>
      </w:r>
    </w:p>
    <w:p w:rsidR="00000000" w:rsidDel="00000000" w:rsidP="00000000" w:rsidRDefault="00000000" w:rsidRPr="00000000" w14:paraId="0000000D">
      <w:pPr>
        <w:pageBreakBefore w:val="0"/>
        <w:rPr>
          <w:color w:val="666666"/>
          <w:highlight w:val="yellow"/>
        </w:rPr>
      </w:pPr>
      <w:r w:rsidDel="00000000" w:rsidR="00000000" w:rsidRPr="00000000">
        <w:rPr>
          <w:rtl w:val="0"/>
        </w:rPr>
      </w:r>
    </w:p>
    <w:p w:rsidR="00000000" w:rsidDel="00000000" w:rsidP="00000000" w:rsidRDefault="00000000" w:rsidRPr="00000000" w14:paraId="0000000E">
      <w:pPr>
        <w:pageBreakBefore w:val="0"/>
        <w:rPr>
          <w:color w:val="666666"/>
          <w:highlight w:val="yellow"/>
        </w:rPr>
      </w:pPr>
      <w:r w:rsidDel="00000000" w:rsidR="00000000" w:rsidRPr="00000000">
        <w:rPr>
          <w:rtl w:val="0"/>
        </w:rPr>
      </w:r>
    </w:p>
    <w:p w:rsidR="00000000" w:rsidDel="00000000" w:rsidP="00000000" w:rsidRDefault="00000000" w:rsidRPr="00000000" w14:paraId="0000000F">
      <w:pPr>
        <w:pageBreakBefore w:val="0"/>
        <w:jc w:val="center"/>
        <w:rPr>
          <w:b w:val="1"/>
          <w:bCs w:val="1"/>
          <w:color w:val="1591d1"/>
          <w:sz w:val="48"/>
          <w:szCs w:val="48"/>
        </w:rPr>
      </w:pPr>
      <w:r w:rsidDel="00000000" w:rsidR="00000000" w:rsidRPr="00000000">
        <w:rPr>
          <w:rtl w:val="0"/>
        </w:rPr>
      </w:r>
    </w:p>
    <w:p w:rsidR="00000000" w:rsidDel="00000000" w:rsidP="00000000" w:rsidRDefault="00000000" w:rsidRPr="00000000" w14:paraId="00000010">
      <w:pPr>
        <w:pageBreakBefore w:val="0"/>
        <w:jc w:val="center"/>
        <w:rPr>
          <w:color w:val="666666"/>
          <w:highlight w:val="yellow"/>
        </w:rPr>
      </w:pPr>
      <w:r w:rsidDel="00000000" w:rsidR="00000000" w:rsidRPr="00000000">
        <w:rPr>
          <w:b w:val="1"/>
          <w:bCs w:val="1"/>
          <w:color w:val="1591d1"/>
          <w:sz w:val="48"/>
          <w:szCs w:val="48"/>
          <w:rtl w:val="0"/>
        </w:rPr>
        <w:t xml:space="preserve">School Business Manager Billesley &amp; Tiverton</w:t>
      </w:r>
      <w:r w:rsidDel="00000000" w:rsidR="00000000" w:rsidRPr="00000000">
        <w:rPr>
          <w:rtl w:val="0"/>
        </w:rPr>
      </w:r>
    </w:p>
    <w:p w:rsidR="00000000" w:rsidDel="00000000" w:rsidP="00000000" w:rsidRDefault="00000000" w:rsidRPr="00000000" w14:paraId="00000011">
      <w:pPr>
        <w:pageBreakBefore w:val="0"/>
        <w:jc w:val="center"/>
        <w:rPr>
          <w:b w:val="1"/>
          <w:bCs w:val="1"/>
          <w:color w:val="1591d1"/>
          <w:sz w:val="48"/>
          <w:szCs w:val="48"/>
        </w:rPr>
      </w:pPr>
      <w:r w:rsidDel="00000000" w:rsidR="00000000" w:rsidRPr="00000000">
        <w:rPr>
          <w:b w:val="1"/>
          <w:bCs w:val="1"/>
          <w:color w:val="1591d1"/>
          <w:sz w:val="48"/>
          <w:szCs w:val="48"/>
          <w:rtl w:val="0"/>
        </w:rPr>
        <w:t xml:space="preserve">JOB DESCRIPTION</w:t>
      </w:r>
    </w:p>
    <w:p w:rsidR="00000000" w:rsidDel="00000000" w:rsidP="00000000" w:rsidRDefault="00000000" w:rsidRPr="00000000" w14:paraId="00000012">
      <w:pPr>
        <w:pageBreakBefore w:val="0"/>
        <w:rPr>
          <w:b w:val="1"/>
          <w:bCs w:val="1"/>
          <w:color w:val="666666"/>
          <w:sz w:val="36"/>
          <w:szCs w:val="36"/>
        </w:rPr>
      </w:pPr>
      <w:r w:rsidDel="00000000" w:rsidR="00000000" w:rsidRPr="00000000">
        <w:rPr>
          <w:rtl w:val="0"/>
        </w:rPr>
      </w:r>
    </w:p>
    <w:p w:rsidR="00000000" w:rsidDel="00000000" w:rsidP="00000000" w:rsidRDefault="00000000" w:rsidRPr="00000000" w14:paraId="00000013">
      <w:pPr>
        <w:pageBreakBefore w:val="0"/>
        <w:rPr>
          <w:b w:val="1"/>
          <w:bCs w:val="1"/>
          <w:color w:val="666666"/>
          <w:sz w:val="36"/>
          <w:szCs w:val="36"/>
        </w:rPr>
      </w:pPr>
      <w:r w:rsidDel="00000000" w:rsidR="00000000" w:rsidRPr="00000000">
        <w:rPr>
          <w:rtl w:val="0"/>
        </w:rPr>
      </w:r>
    </w:p>
    <w:p w:rsidR="00000000" w:rsidDel="00000000" w:rsidP="00000000" w:rsidRDefault="00000000" w:rsidRPr="00000000" w14:paraId="00000014">
      <w:pPr>
        <w:pageBreakBefore w:val="0"/>
        <w:rPr>
          <w:b w:val="1"/>
          <w:bCs w:val="1"/>
          <w:color w:val="666666"/>
          <w:sz w:val="36"/>
          <w:szCs w:val="36"/>
        </w:rPr>
      </w:pPr>
      <w:r w:rsidDel="00000000" w:rsidR="00000000" w:rsidRPr="00000000">
        <w:rPr>
          <w:rtl w:val="0"/>
        </w:rPr>
      </w:r>
    </w:p>
    <w:p w:rsidR="00000000" w:rsidDel="00000000" w:rsidP="00000000" w:rsidRDefault="00000000" w:rsidRPr="00000000" w14:paraId="00000015">
      <w:pPr>
        <w:pageBreakBefore w:val="0"/>
        <w:rPr>
          <w:b w:val="1"/>
          <w:bCs w:val="1"/>
          <w:color w:val="666666"/>
          <w:sz w:val="36"/>
          <w:szCs w:val="36"/>
        </w:rPr>
      </w:pPr>
      <w:r w:rsidDel="00000000" w:rsidR="00000000" w:rsidRPr="00000000">
        <w:rPr>
          <w:rtl w:val="0"/>
        </w:rPr>
      </w:r>
    </w:p>
    <w:p w:rsidR="00000000" w:rsidDel="00000000" w:rsidP="00000000" w:rsidRDefault="00000000" w:rsidRPr="00000000" w14:paraId="00000016">
      <w:pPr>
        <w:pageBreakBefore w:val="0"/>
        <w:rPr>
          <w:highlight w:val="yellow"/>
        </w:rPr>
      </w:pPr>
      <w:r w:rsidDel="00000000" w:rsidR="00000000" w:rsidRPr="00000000">
        <w:rPr>
          <w:rtl w:val="0"/>
        </w:rPr>
      </w:r>
    </w:p>
    <w:tbl>
      <w:tblPr>
        <w:tblStyle w:val="Table1"/>
        <w:tblW w:w="1012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6585"/>
        <w:tblGridChange w:id="0">
          <w:tblGrid>
            <w:gridCol w:w="3540"/>
            <w:gridCol w:w="6585"/>
          </w:tblGrid>
        </w:tblGridChange>
      </w:tblGrid>
      <w:tr>
        <w:trPr>
          <w:cantSplit w:val="0"/>
          <w:trHeight w:val="420" w:hRule="atLeast"/>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17">
            <w:pPr>
              <w:pageBreakBefore w:val="0"/>
              <w:rPr>
                <w:b w:val="1"/>
                <w:bCs w:val="1"/>
                <w:color w:val="ffffff"/>
                <w:sz w:val="24"/>
                <w:szCs w:val="24"/>
              </w:rPr>
            </w:pPr>
            <w:r w:rsidDel="00000000" w:rsidR="00000000" w:rsidRPr="00000000">
              <w:rPr>
                <w:b w:val="1"/>
                <w:bCs w:val="1"/>
                <w:color w:val="ffffff"/>
                <w:sz w:val="24"/>
                <w:szCs w:val="24"/>
                <w:rtl w:val="0"/>
              </w:rPr>
              <w:t xml:space="preserv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color w:val="666666"/>
              </w:rPr>
            </w:pPr>
            <w:r w:rsidDel="00000000" w:rsidR="00000000" w:rsidRPr="00000000">
              <w:rPr>
                <w:color w:val="666666"/>
                <w:rtl w:val="0"/>
              </w:rPr>
              <w:t xml:space="preserve">Grade 5 </w:t>
            </w:r>
            <w:r w:rsidDel="00000000" w:rsidR="00000000" w:rsidRPr="00000000">
              <w:rPr>
                <w:color w:val="666666"/>
                <w:rtl w:val="0"/>
              </w:rPr>
              <w:t xml:space="preserve">(£42,840 - £51,357 FTE per annum)</w:t>
            </w:r>
            <w:r w:rsidDel="00000000" w:rsidR="00000000" w:rsidRPr="00000000">
              <w:rPr>
                <w:rtl w:val="0"/>
              </w:rPr>
            </w:r>
          </w:p>
        </w:tc>
      </w:tr>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19">
            <w:pPr>
              <w:pageBreakBefore w:val="0"/>
              <w:rPr>
                <w:b w:val="1"/>
                <w:bCs w:val="1"/>
                <w:color w:val="ffffff"/>
                <w:sz w:val="24"/>
                <w:szCs w:val="24"/>
              </w:rPr>
            </w:pPr>
            <w:r w:rsidDel="00000000" w:rsidR="00000000" w:rsidRPr="00000000">
              <w:rPr>
                <w:b w:val="1"/>
                <w:bCs w:val="1"/>
                <w:color w:val="ffffff"/>
                <w:sz w:val="24"/>
                <w:szCs w:val="24"/>
                <w:rtl w:val="0"/>
              </w:rPr>
              <w:t xml:space="preserve">Responsible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color w:val="666666"/>
              </w:rPr>
            </w:pPr>
            <w:r w:rsidDel="00000000" w:rsidR="00000000" w:rsidRPr="00000000">
              <w:rPr>
                <w:color w:val="666666"/>
                <w:rtl w:val="0"/>
              </w:rPr>
              <w:t xml:space="preserve">Principals of Billesley &amp; Tiverton</w:t>
            </w:r>
          </w:p>
        </w:tc>
      </w:tr>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1B">
            <w:pPr>
              <w:pageBreakBefore w:val="0"/>
              <w:rPr>
                <w:b w:val="1"/>
                <w:bCs w:val="1"/>
                <w:color w:val="ffffff"/>
                <w:sz w:val="24"/>
                <w:szCs w:val="24"/>
              </w:rPr>
            </w:pPr>
            <w:r w:rsidDel="00000000" w:rsidR="00000000" w:rsidRPr="00000000">
              <w:rPr>
                <w:b w:val="1"/>
                <w:bCs w:val="1"/>
                <w:color w:val="ffffff"/>
                <w:sz w:val="24"/>
                <w:szCs w:val="24"/>
                <w:rtl w:val="0"/>
              </w:rPr>
              <w:t xml:space="preserve">Direct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color w:val="666666"/>
              </w:rPr>
            </w:pPr>
            <w:r w:rsidDel="00000000" w:rsidR="00000000" w:rsidRPr="00000000">
              <w:rPr>
                <w:color w:val="666666"/>
                <w:rtl w:val="0"/>
              </w:rPr>
              <w:t xml:space="preserve">See below</w:t>
            </w:r>
          </w:p>
        </w:tc>
      </w:tr>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1D">
            <w:pPr>
              <w:pageBreakBefore w:val="0"/>
              <w:rPr>
                <w:color w:val="ffffff"/>
                <w:highlight w:val="yellow"/>
              </w:rPr>
            </w:pPr>
            <w:r w:rsidDel="00000000" w:rsidR="00000000" w:rsidRPr="00000000">
              <w:rPr>
                <w:b w:val="1"/>
                <w:bCs w:val="1"/>
                <w:color w:val="ffffff"/>
                <w:sz w:val="24"/>
                <w:szCs w:val="24"/>
                <w:rtl w:val="0"/>
              </w:rPr>
              <w:t xml:space="preserve">Job Description Issue Date: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color w:val="666666"/>
              </w:rPr>
            </w:pPr>
            <w:r w:rsidDel="00000000" w:rsidR="00000000" w:rsidRPr="00000000">
              <w:rPr>
                <w:color w:val="666666"/>
                <w:rtl w:val="0"/>
              </w:rPr>
              <w:t xml:space="preserve">January 2026</w:t>
            </w:r>
          </w:p>
        </w:tc>
      </w:tr>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1F">
            <w:pPr>
              <w:pageBreakBefore w:val="0"/>
              <w:rPr>
                <w:color w:val="ffffff"/>
                <w:highlight w:val="yellow"/>
              </w:rPr>
            </w:pPr>
            <w:r w:rsidDel="00000000" w:rsidR="00000000" w:rsidRPr="00000000">
              <w:rPr>
                <w:b w:val="1"/>
                <w:bCs w:val="1"/>
                <w:color w:val="ffffff"/>
                <w:sz w:val="24"/>
                <w:szCs w:val="24"/>
                <w:rtl w:val="0"/>
              </w:rPr>
              <w:t xml:space="preserve">Postholder 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color w:val="666666"/>
              </w:rPr>
            </w:pPr>
            <w:r w:rsidDel="00000000" w:rsidR="00000000" w:rsidRPr="00000000">
              <w:rPr>
                <w:rtl w:val="0"/>
              </w:rPr>
            </w:r>
          </w:p>
        </w:tc>
      </w:tr>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21">
            <w:pPr>
              <w:pageBreakBefore w:val="0"/>
              <w:rPr>
                <w:color w:val="ffffff"/>
                <w:highlight w:val="yellow"/>
              </w:rPr>
            </w:pPr>
            <w:r w:rsidDel="00000000" w:rsidR="00000000" w:rsidRPr="00000000">
              <w:rPr>
                <w:b w:val="1"/>
                <w:bCs w:val="1"/>
                <w:color w:val="ffffff"/>
                <w:sz w:val="24"/>
                <w:szCs w:val="24"/>
                <w:rtl w:val="0"/>
              </w:rPr>
              <w:t xml:space="preserve">Postholder Signature: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color w:val="666666"/>
              </w:rPr>
            </w:pPr>
            <w:r w:rsidDel="00000000" w:rsidR="00000000" w:rsidRPr="00000000">
              <w:rPr>
                <w:rtl w:val="0"/>
              </w:rPr>
            </w:r>
          </w:p>
        </w:tc>
      </w:tr>
    </w:tbl>
    <w:p w:rsidR="00000000" w:rsidDel="00000000" w:rsidP="00000000" w:rsidRDefault="00000000" w:rsidRPr="00000000" w14:paraId="00000023">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tbl>
      <w:tblPr>
        <w:tblStyle w:val="Table2"/>
        <w:tblW w:w="10110.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10"/>
        <w:tblGridChange w:id="0">
          <w:tblGrid>
            <w:gridCol w:w="10110"/>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b w:val="1"/>
                <w:bCs w:val="1"/>
                <w:color w:val="ffffff"/>
                <w:sz w:val="24"/>
                <w:szCs w:val="24"/>
              </w:rPr>
            </w:pPr>
            <w:r w:rsidDel="00000000" w:rsidR="00000000" w:rsidRPr="00000000">
              <w:rPr>
                <w:b w:val="1"/>
                <w:bCs w:val="1"/>
                <w:color w:val="ffffff"/>
                <w:sz w:val="24"/>
                <w:szCs w:val="24"/>
                <w:rtl w:val="0"/>
              </w:rPr>
              <w:t xml:space="preserve">Purpose of the Role</w:t>
            </w:r>
          </w:p>
        </w:tc>
      </w:tr>
    </w:tbl>
    <w:p w:rsidR="00000000" w:rsidDel="00000000" w:rsidP="00000000" w:rsidRDefault="00000000" w:rsidRPr="00000000" w14:paraId="00000026">
      <w:pPr>
        <w:pageBreakBefore w:val="0"/>
        <w:spacing w:line="240" w:lineRule="auto"/>
        <w:ind w:left="0" w:firstLine="0"/>
        <w:rPr>
          <w:color w:val="666666"/>
        </w:rPr>
      </w:pPr>
      <w:r w:rsidDel="00000000" w:rsidR="00000000" w:rsidRPr="00000000">
        <w:rPr>
          <w:rtl w:val="0"/>
        </w:rPr>
      </w:r>
    </w:p>
    <w:p w:rsidR="00000000" w:rsidDel="00000000" w:rsidP="00000000" w:rsidRDefault="00000000" w:rsidRPr="00000000" w14:paraId="00000027">
      <w:pPr>
        <w:pageBreakBefore w:val="0"/>
        <w:spacing w:line="240" w:lineRule="auto"/>
        <w:ind w:left="0" w:firstLine="0"/>
        <w:rPr>
          <w:color w:val="666666"/>
        </w:rPr>
      </w:pPr>
      <w:r w:rsidDel="00000000" w:rsidR="00000000" w:rsidRPr="00000000">
        <w:rPr>
          <w:color w:val="666666"/>
          <w:rtl w:val="0"/>
        </w:rPr>
        <w:t xml:space="preserve">To provide strategic professional leadership and management of the business functions across Tiverton Academy and Billesley Primary School.</w:t>
      </w:r>
    </w:p>
    <w:p w:rsidR="00000000" w:rsidDel="00000000" w:rsidP="00000000" w:rsidRDefault="00000000" w:rsidRPr="00000000" w14:paraId="00000028">
      <w:pPr>
        <w:pageBreakBefore w:val="0"/>
        <w:spacing w:line="240" w:lineRule="auto"/>
        <w:ind w:left="0" w:firstLine="0"/>
        <w:rPr>
          <w:color w:val="666666"/>
        </w:rPr>
      </w:pPr>
      <w:r w:rsidDel="00000000" w:rsidR="00000000" w:rsidRPr="00000000">
        <w:rPr>
          <w:rtl w:val="0"/>
        </w:rPr>
      </w:r>
    </w:p>
    <w:p w:rsidR="00000000" w:rsidDel="00000000" w:rsidP="00000000" w:rsidRDefault="00000000" w:rsidRPr="00000000" w14:paraId="00000029">
      <w:pPr>
        <w:pageBreakBefore w:val="0"/>
        <w:spacing w:line="240" w:lineRule="auto"/>
        <w:ind w:left="0" w:firstLine="0"/>
        <w:rPr>
          <w:color w:val="666666"/>
        </w:rPr>
      </w:pPr>
      <w:r w:rsidDel="00000000" w:rsidR="00000000" w:rsidRPr="00000000">
        <w:rPr>
          <w:color w:val="666666"/>
          <w:rtl w:val="0"/>
        </w:rPr>
        <w:t xml:space="preserve">You will operate as the main operations lead supporting the Senior Leadership Team (SLT) at both schools, ensuring that the distinct operational needs of a large 3-form entry academy (Billesley) and a close-knit 1-form entry academy (Tiverton) are met.</w:t>
      </w:r>
    </w:p>
    <w:p w:rsidR="00000000" w:rsidDel="00000000" w:rsidP="00000000" w:rsidRDefault="00000000" w:rsidRPr="00000000" w14:paraId="0000002A">
      <w:pPr>
        <w:pageBreakBefore w:val="0"/>
        <w:spacing w:line="240" w:lineRule="auto"/>
        <w:ind w:left="0" w:firstLine="0"/>
        <w:rPr>
          <w:color w:val="666666"/>
        </w:rPr>
      </w:pPr>
      <w:r w:rsidDel="00000000" w:rsidR="00000000" w:rsidRPr="00000000">
        <w:rPr>
          <w:rtl w:val="0"/>
        </w:rPr>
      </w:r>
    </w:p>
    <w:p w:rsidR="00000000" w:rsidDel="00000000" w:rsidP="00000000" w:rsidRDefault="00000000" w:rsidRPr="00000000" w14:paraId="0000002B">
      <w:pPr>
        <w:pageBreakBefore w:val="0"/>
        <w:spacing w:line="240" w:lineRule="auto"/>
        <w:ind w:left="0" w:firstLine="0"/>
        <w:rPr>
          <w:color w:val="666666"/>
        </w:rPr>
      </w:pPr>
      <w:r w:rsidDel="00000000" w:rsidR="00000000" w:rsidRPr="00000000">
        <w:rPr>
          <w:color w:val="666666"/>
          <w:rtl w:val="0"/>
        </w:rPr>
        <w:t xml:space="preserve">Supported by the Trust’s central infrastructure, you will act as the main overseer and driver behind the operations of both academies, ensuring that financial, human, and physical resources are deployed effectively to support the educational vision while ensuring the schools remain both inviting and secure.</w:t>
      </w:r>
    </w:p>
    <w:p w:rsidR="00000000" w:rsidDel="00000000" w:rsidP="00000000" w:rsidRDefault="00000000" w:rsidRPr="00000000" w14:paraId="0000002C">
      <w:pPr>
        <w:pageBreakBefore w:val="0"/>
        <w:spacing w:line="240" w:lineRule="auto"/>
        <w:ind w:left="0" w:firstLine="0"/>
        <w:rPr>
          <w:color w:val="666666"/>
        </w:rPr>
      </w:pPr>
      <w:r w:rsidDel="00000000" w:rsidR="00000000" w:rsidRPr="00000000">
        <w:rPr>
          <w:rtl w:val="0"/>
        </w:rPr>
      </w:r>
    </w:p>
    <w:tbl>
      <w:tblPr>
        <w:tblStyle w:val="Table3"/>
        <w:tblW w:w="10110.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10"/>
        <w:tblGridChange w:id="0">
          <w:tblGrid>
            <w:gridCol w:w="10110"/>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b w:val="1"/>
                <w:bCs w:val="1"/>
                <w:color w:val="ffffff"/>
                <w:sz w:val="24"/>
                <w:szCs w:val="24"/>
              </w:rPr>
            </w:pPr>
            <w:r w:rsidDel="00000000" w:rsidR="00000000" w:rsidRPr="00000000">
              <w:rPr>
                <w:b w:val="1"/>
                <w:bCs w:val="1"/>
                <w:color w:val="ffffff"/>
                <w:sz w:val="24"/>
                <w:szCs w:val="24"/>
                <w:rtl w:val="0"/>
              </w:rPr>
              <w:t xml:space="preserve">General Responsibilities</w:t>
            </w:r>
          </w:p>
        </w:tc>
      </w:tr>
    </w:tbl>
    <w:p w:rsidR="00000000" w:rsidDel="00000000" w:rsidP="00000000" w:rsidRDefault="00000000" w:rsidRPr="00000000" w14:paraId="0000002E">
      <w:pPr>
        <w:pageBreakBefore w:val="0"/>
        <w:numPr>
          <w:ilvl w:val="0"/>
          <w:numId w:val="5"/>
        </w:numPr>
        <w:ind w:left="283.46456692913375" w:hanging="360"/>
        <w:rPr/>
      </w:pPr>
      <w:r w:rsidDel="00000000" w:rsidR="00000000" w:rsidRPr="00000000">
        <w:rPr>
          <w:color w:val="666666"/>
          <w:rtl w:val="0"/>
        </w:rPr>
        <w:t xml:space="preserve">Be familiar with and support the Trust’s Values;</w:t>
      </w:r>
    </w:p>
    <w:p w:rsidR="00000000" w:rsidDel="00000000" w:rsidP="00000000" w:rsidRDefault="00000000" w:rsidRPr="00000000" w14:paraId="0000002F">
      <w:pPr>
        <w:pageBreakBefore w:val="0"/>
        <w:numPr>
          <w:ilvl w:val="0"/>
          <w:numId w:val="5"/>
        </w:numPr>
        <w:ind w:left="283.46456692913375" w:hanging="360"/>
        <w:rPr/>
      </w:pPr>
      <w:r w:rsidDel="00000000" w:rsidR="00000000" w:rsidRPr="00000000">
        <w:rPr>
          <w:color w:val="666666"/>
          <w:rtl w:val="0"/>
        </w:rPr>
        <w:t xml:space="preserve">Be aware of and comply with relevant policies and procedures, including those relating to safeguarding, health and safety, confidentiality and data protection;</w:t>
      </w:r>
    </w:p>
    <w:p w:rsidR="00000000" w:rsidDel="00000000" w:rsidP="00000000" w:rsidRDefault="00000000" w:rsidRPr="00000000" w14:paraId="00000030">
      <w:pPr>
        <w:pageBreakBefore w:val="0"/>
        <w:numPr>
          <w:ilvl w:val="0"/>
          <w:numId w:val="5"/>
        </w:numPr>
        <w:ind w:left="283.46456692913375" w:hanging="360"/>
        <w:rPr/>
      </w:pPr>
      <w:r w:rsidDel="00000000" w:rsidR="00000000" w:rsidRPr="00000000">
        <w:rPr>
          <w:color w:val="666666"/>
          <w:rtl w:val="0"/>
        </w:rPr>
        <w:t xml:space="preserve">Embrace and celebrate diversity, ensuring equal opportunities for all;</w:t>
      </w:r>
    </w:p>
    <w:p w:rsidR="00000000" w:rsidDel="00000000" w:rsidP="00000000" w:rsidRDefault="00000000" w:rsidRPr="00000000" w14:paraId="00000031">
      <w:pPr>
        <w:pageBreakBefore w:val="0"/>
        <w:numPr>
          <w:ilvl w:val="0"/>
          <w:numId w:val="5"/>
        </w:numPr>
        <w:ind w:left="283.46456692913375" w:hanging="360"/>
        <w:rPr/>
      </w:pPr>
      <w:r w:rsidDel="00000000" w:rsidR="00000000" w:rsidRPr="00000000">
        <w:rPr>
          <w:color w:val="666666"/>
          <w:rtl w:val="0"/>
        </w:rPr>
        <w:t xml:space="preserve">Contribute to the overall aims of the Trust and the HR</w:t>
      </w:r>
    </w:p>
    <w:p w:rsidR="00000000" w:rsidDel="00000000" w:rsidP="00000000" w:rsidRDefault="00000000" w:rsidRPr="00000000" w14:paraId="00000032">
      <w:pPr>
        <w:pageBreakBefore w:val="0"/>
        <w:numPr>
          <w:ilvl w:val="0"/>
          <w:numId w:val="5"/>
        </w:numPr>
        <w:ind w:left="283.46456692913375" w:hanging="360"/>
        <w:rPr/>
      </w:pPr>
      <w:r w:rsidDel="00000000" w:rsidR="00000000" w:rsidRPr="00000000">
        <w:rPr>
          <w:color w:val="666666"/>
          <w:rtl w:val="0"/>
        </w:rPr>
        <w:t xml:space="preserve">Behave in a professional manner at all times demonstrating mutual respect, good manners, politeness and common courtesies for all members of our community. We expect employees to behave in a manner that role models positive behaviours for our students;</w:t>
      </w:r>
    </w:p>
    <w:p w:rsidR="00000000" w:rsidDel="00000000" w:rsidP="00000000" w:rsidRDefault="00000000" w:rsidRPr="00000000" w14:paraId="00000033">
      <w:pPr>
        <w:pageBreakBefore w:val="0"/>
        <w:numPr>
          <w:ilvl w:val="0"/>
          <w:numId w:val="5"/>
        </w:numPr>
        <w:ind w:left="283.46456692913375" w:hanging="360"/>
        <w:rPr/>
      </w:pPr>
      <w:r w:rsidDel="00000000" w:rsidR="00000000" w:rsidRPr="00000000">
        <w:rPr>
          <w:color w:val="666666"/>
          <w:rtl w:val="0"/>
        </w:rPr>
        <w:t xml:space="preserve">Ensure own continuous professional development, seeking active opportunities for innovative and effective practice; and </w:t>
      </w:r>
    </w:p>
    <w:p w:rsidR="00000000" w:rsidDel="00000000" w:rsidP="00000000" w:rsidRDefault="00000000" w:rsidRPr="00000000" w14:paraId="00000034">
      <w:pPr>
        <w:pageBreakBefore w:val="0"/>
        <w:numPr>
          <w:ilvl w:val="0"/>
          <w:numId w:val="5"/>
        </w:numPr>
        <w:ind w:left="283.46456692913375" w:hanging="360"/>
        <w:rPr/>
      </w:pPr>
      <w:r w:rsidDel="00000000" w:rsidR="00000000" w:rsidRPr="00000000">
        <w:rPr>
          <w:color w:val="666666"/>
          <w:rtl w:val="0"/>
        </w:rPr>
        <w:t xml:space="preserve">Undertake any other duties which may reasonably be regarded as within the nature of the duties and responsibilities/grade of the post as defined.</w:t>
      </w:r>
    </w:p>
    <w:p w:rsidR="00000000" w:rsidDel="00000000" w:rsidP="00000000" w:rsidRDefault="00000000" w:rsidRPr="00000000" w14:paraId="00000035">
      <w:pPr>
        <w:pageBreakBefore w:val="0"/>
        <w:ind w:left="2160" w:firstLine="0"/>
        <w:rPr/>
      </w:pPr>
      <w:r w:rsidDel="00000000" w:rsidR="00000000" w:rsidRPr="00000000">
        <w:rPr>
          <w:rtl w:val="0"/>
        </w:rPr>
      </w:r>
    </w:p>
    <w:tbl>
      <w:tblPr>
        <w:tblStyle w:val="Table4"/>
        <w:tblW w:w="10110.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10"/>
        <w:tblGridChange w:id="0">
          <w:tblGrid>
            <w:gridCol w:w="10110"/>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b w:val="1"/>
                <w:bCs w:val="1"/>
                <w:color w:val="ffffff"/>
                <w:sz w:val="24"/>
                <w:szCs w:val="24"/>
              </w:rPr>
            </w:pPr>
            <w:r w:rsidDel="00000000" w:rsidR="00000000" w:rsidRPr="00000000">
              <w:rPr>
                <w:b w:val="1"/>
                <w:bCs w:val="1"/>
                <w:color w:val="ffffff"/>
                <w:sz w:val="24"/>
                <w:szCs w:val="24"/>
                <w:rtl w:val="0"/>
              </w:rPr>
              <w:t xml:space="preserve">Specific Responsibilities</w:t>
            </w:r>
          </w:p>
        </w:tc>
      </w:tr>
    </w:tbl>
    <w:p w:rsidR="00000000" w:rsidDel="00000000" w:rsidP="00000000" w:rsidRDefault="00000000" w:rsidRPr="00000000" w14:paraId="00000037">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sz w:val="22"/>
          <w:szCs w:val="22"/>
        </w:rPr>
      </w:pPr>
      <w:bookmarkStart w:colFirst="0" w:colLast="0" w:name="_v5d678t2wd25" w:id="0"/>
      <w:bookmarkEnd w:id="0"/>
      <w:r w:rsidDel="00000000" w:rsidR="00000000" w:rsidRPr="00000000">
        <w:rPr>
          <w:b w:val="1"/>
          <w:bCs w:val="1"/>
          <w:sz w:val="22"/>
          <w:szCs w:val="22"/>
          <w:rtl w:val="0"/>
        </w:rPr>
        <w:t xml:space="preserve">a) Shaping the Future (Strategy &amp; Planning)</w:t>
      </w:r>
    </w:p>
    <w:p w:rsidR="00000000" w:rsidDel="00000000" w:rsidP="00000000" w:rsidRDefault="00000000" w:rsidRPr="00000000" w14:paraId="0000003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Budget Construction:</w:t>
      </w:r>
      <w:r w:rsidDel="00000000" w:rsidR="00000000" w:rsidRPr="00000000">
        <w:rPr>
          <w:color w:val="666666"/>
          <w:rtl w:val="0"/>
        </w:rPr>
        <w:t xml:space="preserve"> Work with the Principals and the Trust Finance Business Partner (FBP) to build the annual budget line-by-line using Zero-Based Budgeting (ZBB), ensuring resources are targeted at educational priorities rather than historical spending.</w:t>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Income Generation:</w:t>
      </w:r>
      <w:r w:rsidDel="00000000" w:rsidR="00000000" w:rsidRPr="00000000">
        <w:rPr>
          <w:color w:val="666666"/>
          <w:rtl w:val="0"/>
        </w:rPr>
        <w:t xml:space="preserve"> Strategically manage income streams, including the nursery, ARP, Research School and SCITT at Billesley , and maximize income potential at Tiverton, ensuring all traded services cover their full costs.</w:t>
      </w:r>
    </w:p>
    <w:p w:rsidR="00000000" w:rsidDel="00000000" w:rsidP="00000000" w:rsidRDefault="00000000" w:rsidRPr="00000000" w14:paraId="0000003A">
      <w:pPr>
        <w:numPr>
          <w:ilvl w:val="0"/>
          <w:numId w:val="1"/>
        </w:numPr>
        <w:pBdr>
          <w:top w:color="auto" w:space="0" w:sz="0" w:val="none"/>
          <w:bottom w:color="auto" w:space="0" w:sz="0" w:val="none"/>
          <w:right w:color="auto" w:space="0" w:sz="0" w:val="none"/>
          <w:between w:color="auto" w:space="0" w:sz="0" w:val="none"/>
        </w:pBdr>
        <w:spacing w:after="360" w:lineRule="auto"/>
        <w:ind w:left="780" w:hanging="360"/>
        <w:rPr>
          <w:color w:val="666666"/>
        </w:rPr>
      </w:pPr>
      <w:r w:rsidDel="00000000" w:rsidR="00000000" w:rsidRPr="00000000">
        <w:rPr>
          <w:b w:val="1"/>
          <w:bCs w:val="1"/>
          <w:color w:val="666666"/>
          <w:rtl w:val="0"/>
        </w:rPr>
        <w:t xml:space="preserve">Resource Efficiency:</w:t>
      </w:r>
      <w:r w:rsidDel="00000000" w:rsidR="00000000" w:rsidRPr="00000000">
        <w:rPr>
          <w:color w:val="666666"/>
          <w:rtl w:val="0"/>
        </w:rPr>
        <w:t xml:space="preserve"> Champion Value for Money (VFM) and utilise Trust-mandated contracts to protect the schools from inflationary pressures.</w:t>
      </w:r>
    </w:p>
    <w:p w:rsidR="00000000" w:rsidDel="00000000" w:rsidP="00000000" w:rsidRDefault="00000000" w:rsidRPr="00000000" w14:paraId="0000003B">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sz w:val="22"/>
          <w:szCs w:val="22"/>
        </w:rPr>
      </w:pPr>
      <w:bookmarkStart w:colFirst="0" w:colLast="0" w:name="_vogcd91owc1c" w:id="1"/>
      <w:bookmarkEnd w:id="1"/>
      <w:r w:rsidDel="00000000" w:rsidR="00000000" w:rsidRPr="00000000">
        <w:rPr>
          <w:b w:val="1"/>
          <w:bCs w:val="1"/>
          <w:sz w:val="22"/>
          <w:szCs w:val="22"/>
          <w:rtl w:val="0"/>
        </w:rPr>
        <w:t xml:space="preserve">b) Leading Business Operations (The Dual Approach)</w:t>
      </w:r>
    </w:p>
    <w:p w:rsidR="00000000" w:rsidDel="00000000" w:rsidP="00000000" w:rsidRDefault="00000000" w:rsidRPr="00000000" w14:paraId="0000003C">
      <w:pPr>
        <w:numPr>
          <w:ilvl w:val="0"/>
          <w:numId w:val="6"/>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At Billesley (Strategic Oversight):</w:t>
      </w:r>
      <w:r w:rsidDel="00000000" w:rsidR="00000000" w:rsidRPr="00000000">
        <w:rPr>
          <w:color w:val="666666"/>
          <w:rtl w:val="0"/>
        </w:rPr>
        <w:t xml:space="preserve"> Provide high-level direction to the in-house Catering Manager, Site Manager, and Admin team. Oversee the complex financial administration of the Research School and SCITT.</w:t>
      </w:r>
    </w:p>
    <w:p w:rsidR="00000000" w:rsidDel="00000000" w:rsidP="00000000" w:rsidRDefault="00000000" w:rsidRPr="00000000" w14:paraId="0000003D">
      <w:pPr>
        <w:numPr>
          <w:ilvl w:val="0"/>
          <w:numId w:val="6"/>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At Tiverton (Strategic and Operational Leadership):</w:t>
      </w:r>
      <w:r w:rsidDel="00000000" w:rsidR="00000000" w:rsidRPr="00000000">
        <w:rPr>
          <w:color w:val="666666"/>
          <w:rtl w:val="0"/>
        </w:rPr>
        <w:t xml:space="preserve"> Provide hands-on leadership to the small Admin Team, Site Manager, and Lunchtime Supervisors. Act as the contract manager for the outsourced catering provider, ensuring service quality meets the school’s ethos.</w:t>
      </w:r>
    </w:p>
    <w:p w:rsidR="00000000" w:rsidDel="00000000" w:rsidP="00000000" w:rsidRDefault="00000000" w:rsidRPr="00000000" w14:paraId="0000003E">
      <w:pPr>
        <w:numPr>
          <w:ilvl w:val="0"/>
          <w:numId w:val="6"/>
        </w:numPr>
        <w:pBdr>
          <w:top w:color="auto" w:space="0" w:sz="0" w:val="none"/>
          <w:bottom w:color="auto" w:space="0" w:sz="0" w:val="none"/>
          <w:right w:color="auto" w:space="0" w:sz="0" w:val="none"/>
          <w:between w:color="auto" w:space="0" w:sz="0" w:val="none"/>
        </w:pBdr>
        <w:spacing w:after="360" w:lineRule="auto"/>
        <w:ind w:left="780" w:hanging="360"/>
        <w:rPr>
          <w:color w:val="666666"/>
        </w:rPr>
      </w:pPr>
      <w:r w:rsidDel="00000000" w:rsidR="00000000" w:rsidRPr="00000000">
        <w:rPr>
          <w:b w:val="1"/>
          <w:bCs w:val="1"/>
          <w:color w:val="666666"/>
          <w:rtl w:val="0"/>
        </w:rPr>
        <w:t xml:space="preserve">ICT Strategy:</w:t>
      </w:r>
      <w:r w:rsidDel="00000000" w:rsidR="00000000" w:rsidRPr="00000000">
        <w:rPr>
          <w:color w:val="666666"/>
          <w:rtl w:val="0"/>
        </w:rPr>
        <w:t xml:space="preserve"> Support the Trust’s "Google First" and serverless strategy, ensuring core hardware refreshes are managed via the central ICT Hardware Fund.</w:t>
      </w:r>
    </w:p>
    <w:p w:rsidR="00000000" w:rsidDel="00000000" w:rsidP="00000000" w:rsidRDefault="00000000" w:rsidRPr="00000000" w14:paraId="0000003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sz w:val="22"/>
          <w:szCs w:val="22"/>
        </w:rPr>
      </w:pPr>
      <w:bookmarkStart w:colFirst="0" w:colLast="0" w:name="_9ukuy1cyrmos" w:id="2"/>
      <w:bookmarkEnd w:id="2"/>
      <w:r w:rsidDel="00000000" w:rsidR="00000000" w:rsidRPr="00000000">
        <w:rPr>
          <w:b w:val="1"/>
          <w:bCs w:val="1"/>
          <w:sz w:val="22"/>
          <w:szCs w:val="22"/>
          <w:rtl w:val="0"/>
        </w:rPr>
        <w:t xml:space="preserve">c) Financial Resource Management</w:t>
      </w:r>
    </w:p>
    <w:p w:rsidR="00000000" w:rsidDel="00000000" w:rsidP="00000000" w:rsidRDefault="00000000" w:rsidRPr="00000000" w14:paraId="00000040">
      <w:pPr>
        <w:numPr>
          <w:ilvl w:val="0"/>
          <w:numId w:val="7"/>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Procurement Control:</w:t>
      </w:r>
      <w:r w:rsidDel="00000000" w:rsidR="00000000" w:rsidRPr="00000000">
        <w:rPr>
          <w:color w:val="666666"/>
          <w:rtl w:val="0"/>
        </w:rPr>
        <w:t xml:space="preserve"> Enforce the Trust’s financial policies are followed, ensuring all spend is authorised before commitment.</w:t>
      </w:r>
    </w:p>
    <w:p w:rsidR="00000000" w:rsidDel="00000000" w:rsidP="00000000" w:rsidRDefault="00000000" w:rsidRPr="00000000" w14:paraId="00000041">
      <w:pPr>
        <w:numPr>
          <w:ilvl w:val="0"/>
          <w:numId w:val="7"/>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Forecasting:</w:t>
      </w:r>
      <w:r w:rsidDel="00000000" w:rsidR="00000000" w:rsidRPr="00000000">
        <w:rPr>
          <w:color w:val="666666"/>
          <w:rtl w:val="0"/>
        </w:rPr>
        <w:t xml:space="preserve"> Produce accurate monthly forecasts, to ensure the Principals and Trust have a true picture of the schools' financial health.</w:t>
      </w:r>
    </w:p>
    <w:p w:rsidR="00000000" w:rsidDel="00000000" w:rsidP="00000000" w:rsidRDefault="00000000" w:rsidRPr="00000000" w14:paraId="00000042">
      <w:pPr>
        <w:numPr>
          <w:ilvl w:val="0"/>
          <w:numId w:val="7"/>
        </w:numPr>
        <w:pBdr>
          <w:top w:color="auto" w:space="0" w:sz="0" w:val="none"/>
          <w:bottom w:color="auto" w:space="0" w:sz="0" w:val="none"/>
          <w:right w:color="auto" w:space="0" w:sz="0" w:val="none"/>
          <w:between w:color="auto" w:space="0" w:sz="0" w:val="none"/>
        </w:pBdr>
        <w:spacing w:after="360" w:lineRule="auto"/>
        <w:ind w:left="780" w:hanging="360"/>
        <w:rPr>
          <w:color w:val="666666"/>
        </w:rPr>
      </w:pPr>
      <w:r w:rsidDel="00000000" w:rsidR="00000000" w:rsidRPr="00000000">
        <w:rPr>
          <w:b w:val="1"/>
          <w:bCs w:val="1"/>
          <w:color w:val="666666"/>
          <w:rtl w:val="0"/>
        </w:rPr>
        <w:t xml:space="preserve">Audit &amp; Compliance:</w:t>
      </w:r>
      <w:r w:rsidDel="00000000" w:rsidR="00000000" w:rsidRPr="00000000">
        <w:rPr>
          <w:color w:val="666666"/>
          <w:rtl w:val="0"/>
        </w:rPr>
        <w:t xml:space="preserve"> Liaise with the Central Finance Team to support statutory returns (VAT, Annual Accounts), ensuring local records are audit-ready.</w:t>
      </w:r>
    </w:p>
    <w:p w:rsidR="00000000" w:rsidDel="00000000" w:rsidP="00000000" w:rsidRDefault="00000000" w:rsidRPr="00000000" w14:paraId="00000043">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sz w:val="22"/>
          <w:szCs w:val="22"/>
        </w:rPr>
      </w:pPr>
      <w:bookmarkStart w:colFirst="0" w:colLast="0" w:name="_ue9qbdoc3sea" w:id="3"/>
      <w:bookmarkEnd w:id="3"/>
      <w:r w:rsidDel="00000000" w:rsidR="00000000" w:rsidRPr="00000000">
        <w:rPr>
          <w:b w:val="1"/>
          <w:bCs w:val="1"/>
          <w:sz w:val="22"/>
          <w:szCs w:val="22"/>
          <w:rtl w:val="0"/>
        </w:rPr>
        <w:t xml:space="preserve">d) Human Resources &amp; Payroll</w:t>
      </w:r>
    </w:p>
    <w:p w:rsidR="00000000" w:rsidDel="00000000" w:rsidP="00000000" w:rsidRDefault="00000000" w:rsidRPr="00000000" w14:paraId="00000044">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HR Systems:</w:t>
      </w:r>
      <w:r w:rsidDel="00000000" w:rsidR="00000000" w:rsidRPr="00000000">
        <w:rPr>
          <w:color w:val="666666"/>
          <w:rtl w:val="0"/>
        </w:rPr>
        <w:t xml:space="preserve"> Maintain iTrent as the single source of truth for all staff data, ensuring contract changes, sickness, and absence are recorded accurately and on time.</w:t>
      </w:r>
    </w:p>
    <w:p w:rsidR="00000000" w:rsidDel="00000000" w:rsidP="00000000" w:rsidRDefault="00000000" w:rsidRPr="00000000" w14:paraId="00000045">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Payroll Gatekeeper:</w:t>
      </w:r>
      <w:r w:rsidDel="00000000" w:rsidR="00000000" w:rsidRPr="00000000">
        <w:rPr>
          <w:color w:val="666666"/>
          <w:rtl w:val="0"/>
        </w:rPr>
        <w:t xml:space="preserve"> Review the monthly payroll reports to identify and correct errors before the final pay run, protecting staff from pay inaccuracies.</w:t>
      </w:r>
    </w:p>
    <w:p w:rsidR="00000000" w:rsidDel="00000000" w:rsidP="00000000" w:rsidRDefault="00000000" w:rsidRPr="00000000" w14:paraId="00000046">
      <w:pPr>
        <w:numPr>
          <w:ilvl w:val="0"/>
          <w:numId w:val="10"/>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Safer Recruitment:</w:t>
      </w:r>
      <w:r w:rsidDel="00000000" w:rsidR="00000000" w:rsidRPr="00000000">
        <w:rPr>
          <w:color w:val="666666"/>
          <w:rtl w:val="0"/>
        </w:rPr>
        <w:t xml:space="preserve"> Oversee the Single Central Record (SCR) at both schools, ensuring all recruitment checks (DBS, Right to Work) are rigorous and compliant with </w:t>
      </w:r>
      <w:r w:rsidDel="00000000" w:rsidR="00000000" w:rsidRPr="00000000">
        <w:rPr>
          <w:i w:val="1"/>
          <w:iCs w:val="1"/>
          <w:color w:val="666666"/>
          <w:rtl w:val="0"/>
        </w:rPr>
        <w:t xml:space="preserve">Keeping Children Safe in Education</w:t>
      </w:r>
      <w:r w:rsidDel="00000000" w:rsidR="00000000" w:rsidRPr="00000000">
        <w:rPr>
          <w:color w:val="666666"/>
          <w:rtl w:val="0"/>
        </w:rPr>
        <w:t xml:space="preserve">.</w:t>
      </w:r>
    </w:p>
    <w:p w:rsidR="00000000" w:rsidDel="00000000" w:rsidP="00000000" w:rsidRDefault="00000000" w:rsidRPr="00000000" w14:paraId="00000047">
      <w:pPr>
        <w:numPr>
          <w:ilvl w:val="0"/>
          <w:numId w:val="10"/>
        </w:numPr>
        <w:pBdr>
          <w:top w:color="auto" w:space="0" w:sz="0" w:val="none"/>
          <w:bottom w:color="auto" w:space="0" w:sz="0" w:val="none"/>
          <w:right w:color="auto" w:space="0" w:sz="0" w:val="none"/>
          <w:between w:color="auto" w:space="0" w:sz="0" w:val="none"/>
        </w:pBdr>
        <w:spacing w:after="360" w:lineRule="auto"/>
        <w:ind w:left="780" w:hanging="360"/>
        <w:rPr>
          <w:b w:val="1"/>
          <w:bCs w:val="1"/>
          <w:color w:val="666666"/>
        </w:rPr>
      </w:pPr>
      <w:r w:rsidDel="00000000" w:rsidR="00000000" w:rsidRPr="00000000">
        <w:rPr>
          <w:b w:val="1"/>
          <w:bCs w:val="1"/>
          <w:color w:val="666666"/>
          <w:rtl w:val="0"/>
        </w:rPr>
        <w:t xml:space="preserve">Casework Admin: </w:t>
      </w:r>
      <w:r w:rsidDel="00000000" w:rsidR="00000000" w:rsidRPr="00000000">
        <w:rPr>
          <w:color w:val="666666"/>
          <w:rtl w:val="0"/>
        </w:rPr>
        <w:t xml:space="preserve">Manage all HR-related documentation, ensuring the timely production of offer letters, contracts, letters and other documents while maintaining clear and professional communication across the school community.</w:t>
      </w:r>
    </w:p>
    <w:p w:rsidR="00000000" w:rsidDel="00000000" w:rsidP="00000000" w:rsidRDefault="00000000" w:rsidRPr="00000000" w14:paraId="00000048">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sz w:val="22"/>
          <w:szCs w:val="22"/>
        </w:rPr>
      </w:pPr>
      <w:bookmarkStart w:colFirst="0" w:colLast="0" w:name="_udb9bf5v1jty" w:id="4"/>
      <w:bookmarkEnd w:id="4"/>
      <w:r w:rsidDel="00000000" w:rsidR="00000000" w:rsidRPr="00000000">
        <w:rPr>
          <w:b w:val="1"/>
          <w:bCs w:val="1"/>
          <w:sz w:val="22"/>
          <w:szCs w:val="22"/>
          <w:rtl w:val="0"/>
        </w:rPr>
        <w:t xml:space="preserve">e) Estates, Health &amp; Safety</w:t>
      </w:r>
    </w:p>
    <w:p w:rsidR="00000000" w:rsidDel="00000000" w:rsidP="00000000" w:rsidRDefault="00000000" w:rsidRPr="00000000" w14:paraId="00000049">
      <w:pPr>
        <w:numPr>
          <w:ilvl w:val="0"/>
          <w:numId w:val="12"/>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"Safe, Warm, Dry":</w:t>
      </w:r>
      <w:r w:rsidDel="00000000" w:rsidR="00000000" w:rsidRPr="00000000">
        <w:rPr>
          <w:color w:val="666666"/>
          <w:rtl w:val="0"/>
        </w:rPr>
        <w:t xml:space="preserve"> Prioritise capital spending on health, safety, and fabric issues, ensuring the learning environment is both inviting and safe.</w:t>
      </w:r>
    </w:p>
    <w:p w:rsidR="00000000" w:rsidDel="00000000" w:rsidP="00000000" w:rsidRDefault="00000000" w:rsidRPr="00000000" w14:paraId="0000004A">
      <w:pPr>
        <w:numPr>
          <w:ilvl w:val="0"/>
          <w:numId w:val="12"/>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Compliance Management:</w:t>
      </w:r>
      <w:r w:rsidDel="00000000" w:rsidR="00000000" w:rsidRPr="00000000">
        <w:rPr>
          <w:color w:val="666666"/>
          <w:rtl w:val="0"/>
        </w:rPr>
        <w:t xml:space="preserve"> Ensure local statutory checks (e.g., weekly fire alarm tests, contractor inductions) are completed and logged, while the Trust manages major compliance contracts (Gas, Legionella).</w:t>
      </w:r>
    </w:p>
    <w:p w:rsidR="00000000" w:rsidDel="00000000" w:rsidP="00000000" w:rsidRDefault="00000000" w:rsidRPr="00000000" w14:paraId="0000004B">
      <w:pPr>
        <w:numPr>
          <w:ilvl w:val="0"/>
          <w:numId w:val="12"/>
        </w:numPr>
        <w:pBdr>
          <w:top w:color="auto" w:space="0" w:sz="0" w:val="none"/>
          <w:bottom w:color="auto" w:space="0" w:sz="0" w:val="none"/>
          <w:right w:color="auto" w:space="0" w:sz="0" w:val="none"/>
          <w:between w:color="auto" w:space="0" w:sz="0" w:val="none"/>
        </w:pBdr>
        <w:spacing w:after="360" w:lineRule="auto"/>
        <w:ind w:left="780" w:hanging="360"/>
        <w:rPr>
          <w:color w:val="666666"/>
        </w:rPr>
      </w:pPr>
      <w:r w:rsidDel="00000000" w:rsidR="00000000" w:rsidRPr="00000000">
        <w:rPr>
          <w:b w:val="1"/>
          <w:bCs w:val="1"/>
          <w:color w:val="666666"/>
          <w:rtl w:val="0"/>
        </w:rPr>
        <w:t xml:space="preserve">Sustainability:</w:t>
      </w:r>
      <w:r w:rsidDel="00000000" w:rsidR="00000000" w:rsidRPr="00000000">
        <w:rPr>
          <w:color w:val="666666"/>
          <w:rtl w:val="0"/>
        </w:rPr>
        <w:t xml:space="preserve"> Drive the Trust’s decarbonisation agenda locally, encouraging energy-saving behaviours to support our Net Zero ambitions.</w:t>
      </w:r>
    </w:p>
    <w:p w:rsidR="00000000" w:rsidDel="00000000" w:rsidP="00000000" w:rsidRDefault="00000000" w:rsidRPr="00000000" w14:paraId="0000004C">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sz w:val="22"/>
          <w:szCs w:val="22"/>
        </w:rPr>
      </w:pPr>
      <w:bookmarkStart w:colFirst="0" w:colLast="0" w:name="_8zlls22peyf9" w:id="5"/>
      <w:bookmarkEnd w:id="5"/>
      <w:r w:rsidDel="00000000" w:rsidR="00000000" w:rsidRPr="00000000">
        <w:rPr>
          <w:b w:val="1"/>
          <w:bCs w:val="1"/>
          <w:sz w:val="22"/>
          <w:szCs w:val="22"/>
          <w:rtl w:val="0"/>
        </w:rPr>
        <w:t xml:space="preserve">f) ICT &amp; Information Management</w:t>
      </w:r>
    </w:p>
    <w:p w:rsidR="00000000" w:rsidDel="00000000" w:rsidP="00000000" w:rsidRDefault="00000000" w:rsidRPr="00000000" w14:paraId="0000004D">
      <w:pPr>
        <w:numPr>
          <w:ilvl w:val="0"/>
          <w:numId w:val="2"/>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Digital Strategy:</w:t>
      </w:r>
      <w:r w:rsidDel="00000000" w:rsidR="00000000" w:rsidRPr="00000000">
        <w:rPr>
          <w:color w:val="666666"/>
          <w:rtl w:val="0"/>
        </w:rPr>
        <w:t xml:space="preserve"> You will support the "Google First" and "Serverless" strategy, ensuring staff and pupil devices are managed effectively.</w:t>
      </w:r>
    </w:p>
    <w:p w:rsidR="00000000" w:rsidDel="00000000" w:rsidP="00000000" w:rsidRDefault="00000000" w:rsidRPr="00000000" w14:paraId="0000004E">
      <w:pPr>
        <w:numPr>
          <w:ilvl w:val="0"/>
          <w:numId w:val="2"/>
        </w:numPr>
        <w:pBdr>
          <w:top w:color="auto" w:space="0" w:sz="0" w:val="none"/>
          <w:bottom w:color="auto" w:space="0" w:sz="0" w:val="none"/>
          <w:right w:color="auto" w:space="0" w:sz="0" w:val="none"/>
          <w:between w:color="auto" w:space="0" w:sz="0" w:val="none"/>
        </w:pBdr>
        <w:spacing w:after="360" w:lineRule="auto"/>
        <w:ind w:left="780" w:hanging="360"/>
        <w:rPr>
          <w:color w:val="666666"/>
        </w:rPr>
      </w:pPr>
      <w:r w:rsidDel="00000000" w:rsidR="00000000" w:rsidRPr="00000000">
        <w:rPr>
          <w:b w:val="1"/>
          <w:bCs w:val="1"/>
          <w:color w:val="666666"/>
          <w:rtl w:val="0"/>
        </w:rPr>
        <w:t xml:space="preserve">Data Protection:</w:t>
      </w:r>
      <w:r w:rsidDel="00000000" w:rsidR="00000000" w:rsidRPr="00000000">
        <w:rPr>
          <w:color w:val="666666"/>
          <w:rtl w:val="0"/>
        </w:rPr>
        <w:t xml:space="preserve"> You will act as the local Data Protection Lead, ensuring GDPR compliance and managing Subject Access Requests (SARs) with central support.</w:t>
      </w:r>
    </w:p>
    <w:p w:rsidR="00000000" w:rsidDel="00000000" w:rsidP="00000000" w:rsidRDefault="00000000" w:rsidRPr="00000000" w14:paraId="0000004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sz w:val="22"/>
          <w:szCs w:val="22"/>
        </w:rPr>
      </w:pPr>
      <w:bookmarkStart w:colFirst="0" w:colLast="0" w:name="_u3sv00ow2dtl" w:id="6"/>
      <w:bookmarkEnd w:id="6"/>
      <w:r w:rsidDel="00000000" w:rsidR="00000000" w:rsidRPr="00000000">
        <w:rPr>
          <w:b w:val="1"/>
          <w:bCs w:val="1"/>
          <w:sz w:val="22"/>
          <w:szCs w:val="22"/>
          <w:rtl w:val="0"/>
        </w:rPr>
        <w:t xml:space="preserve">g) Developing Self and Working with Others</w:t>
      </w:r>
    </w:p>
    <w:p w:rsidR="00000000" w:rsidDel="00000000" w:rsidP="00000000" w:rsidRDefault="00000000" w:rsidRPr="00000000" w14:paraId="00000050">
      <w:pPr>
        <w:numPr>
          <w:ilvl w:val="0"/>
          <w:numId w:val="9"/>
        </w:numPr>
        <w:pBdr>
          <w:top w:color="auto" w:space="0" w:sz="0" w:val="none"/>
          <w:bottom w:color="auto" w:space="0" w:sz="0" w:val="none"/>
          <w:right w:color="auto" w:space="0" w:sz="0" w:val="none"/>
          <w:between w:color="auto" w:space="0" w:sz="0" w:val="none"/>
        </w:pBdr>
        <w:spacing w:after="0" w:afterAutospacing="0" w:lineRule="auto"/>
        <w:ind w:left="780" w:hanging="360"/>
        <w:rPr>
          <w:color w:val="666666"/>
        </w:rPr>
      </w:pPr>
      <w:r w:rsidDel="00000000" w:rsidR="00000000" w:rsidRPr="00000000">
        <w:rPr>
          <w:b w:val="1"/>
          <w:bCs w:val="1"/>
          <w:color w:val="666666"/>
          <w:rtl w:val="0"/>
        </w:rPr>
        <w:t xml:space="preserve">Team Development:</w:t>
      </w:r>
      <w:r w:rsidDel="00000000" w:rsidR="00000000" w:rsidRPr="00000000">
        <w:rPr>
          <w:color w:val="666666"/>
          <w:rtl w:val="0"/>
        </w:rPr>
        <w:t xml:space="preserve"> Lead, motivate, and appraise the support staff across both schools, fostering a culture of professional development.</w:t>
      </w:r>
    </w:p>
    <w:p w:rsidR="00000000" w:rsidDel="00000000" w:rsidP="00000000" w:rsidRDefault="00000000" w:rsidRPr="00000000" w14:paraId="00000051">
      <w:pPr>
        <w:numPr>
          <w:ilvl w:val="0"/>
          <w:numId w:val="9"/>
        </w:numPr>
        <w:pBdr>
          <w:top w:color="auto" w:space="0" w:sz="0" w:val="none"/>
          <w:bottom w:color="auto" w:space="0" w:sz="0" w:val="none"/>
          <w:right w:color="auto" w:space="0" w:sz="0" w:val="none"/>
          <w:between w:color="auto" w:space="0" w:sz="0" w:val="none"/>
        </w:pBdr>
        <w:spacing w:after="360" w:lineRule="auto"/>
        <w:ind w:left="780" w:hanging="360"/>
        <w:rPr>
          <w:color w:val="666666"/>
        </w:rPr>
      </w:pPr>
      <w:r w:rsidDel="00000000" w:rsidR="00000000" w:rsidRPr="00000000">
        <w:rPr>
          <w:b w:val="1"/>
          <w:bCs w:val="1"/>
          <w:color w:val="666666"/>
          <w:rtl w:val="0"/>
        </w:rPr>
        <w:t xml:space="preserve">Trust Collaboration:</w:t>
      </w:r>
      <w:r w:rsidDel="00000000" w:rsidR="00000000" w:rsidRPr="00000000">
        <w:rPr>
          <w:color w:val="666666"/>
          <w:rtl w:val="0"/>
        </w:rPr>
        <w:t xml:space="preserve"> Actively collaborate with your HR and Finance </w:t>
      </w:r>
      <w:r w:rsidDel="00000000" w:rsidR="00000000" w:rsidRPr="00000000">
        <w:rPr>
          <w:b w:val="1"/>
          <w:bCs w:val="1"/>
          <w:color w:val="666666"/>
          <w:rtl w:val="0"/>
        </w:rPr>
        <w:t xml:space="preserve">Business Partners</w:t>
      </w:r>
      <w:r w:rsidDel="00000000" w:rsidR="00000000" w:rsidRPr="00000000">
        <w:rPr>
          <w:color w:val="666666"/>
          <w:rtl w:val="0"/>
        </w:rPr>
        <w:t xml:space="preserve">, and Regional Estates Lead, to utilise the central support network to resolve complex issues rather than working in isolation.</w:t>
      </w:r>
    </w:p>
    <w:p w:rsidR="00000000" w:rsidDel="00000000" w:rsidP="00000000" w:rsidRDefault="00000000" w:rsidRPr="00000000" w14:paraId="00000052">
      <w:pPr>
        <w:pBdr>
          <w:top w:color="auto" w:space="0" w:sz="0" w:val="none"/>
          <w:bottom w:color="auto" w:space="0" w:sz="0" w:val="none"/>
          <w:right w:color="auto" w:space="0" w:sz="0" w:val="none"/>
          <w:between w:color="auto" w:space="0" w:sz="0" w:val="none"/>
        </w:pBdr>
        <w:spacing w:after="360" w:lineRule="auto"/>
        <w:rPr>
          <w:b w:val="1"/>
          <w:bCs w:val="1"/>
          <w:color w:val="666666"/>
          <w:sz w:val="24"/>
          <w:szCs w:val="24"/>
          <w:u w:val="single"/>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tbl>
      <w:tblPr>
        <w:tblStyle w:val="Table5"/>
        <w:tblW w:w="10110.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10"/>
        <w:tblGridChange w:id="0">
          <w:tblGrid>
            <w:gridCol w:w="10110"/>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b w:val="1"/>
                <w:bCs w:val="1"/>
                <w:color w:val="ffffff"/>
                <w:sz w:val="24"/>
                <w:szCs w:val="24"/>
              </w:rPr>
            </w:pPr>
            <w:r w:rsidDel="00000000" w:rsidR="00000000" w:rsidRPr="00000000">
              <w:rPr>
                <w:b w:val="1"/>
                <w:bCs w:val="1"/>
                <w:color w:val="ffffff"/>
                <w:sz w:val="24"/>
                <w:szCs w:val="24"/>
                <w:rtl w:val="0"/>
              </w:rPr>
              <w:t xml:space="preserve">Team Structure</w:t>
            </w:r>
          </w:p>
        </w:tc>
      </w:tr>
    </w:tbl>
    <w:p w:rsidR="00000000" w:rsidDel="00000000" w:rsidP="00000000" w:rsidRDefault="00000000" w:rsidRPr="00000000" w14:paraId="00000055">
      <w:pPr>
        <w:pageBreakBefore w:val="0"/>
        <w:ind w:left="0" w:firstLine="0"/>
        <w:rPr>
          <w:color w:val="666666"/>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666666"/>
        </w:rPr>
      </w:pPr>
      <w:r w:rsidDel="00000000" w:rsidR="00000000" w:rsidRPr="00000000">
        <w:rPr>
          <w:b w:val="1"/>
          <w:bCs w:val="1"/>
          <w:color w:val="666666"/>
          <w:rtl w:val="0"/>
        </w:rPr>
        <w:t xml:space="preserve">Billesley Team (Direct Reports):</w:t>
      </w:r>
    </w:p>
    <w:p w:rsidR="00000000" w:rsidDel="00000000" w:rsidP="00000000" w:rsidRDefault="00000000" w:rsidRPr="00000000" w14:paraId="00000057">
      <w:pPr>
        <w:numPr>
          <w:ilvl w:val="0"/>
          <w:numId w:val="11"/>
        </w:numPr>
        <w:pBdr>
          <w:top w:color="auto" w:space="0" w:sz="0" w:val="none"/>
          <w:bottom w:color="auto" w:space="0" w:sz="0" w:val="none"/>
          <w:right w:color="auto" w:space="0" w:sz="0" w:val="none"/>
          <w:between w:color="auto" w:space="0" w:sz="0" w:val="none"/>
        </w:pBdr>
        <w:spacing w:after="0" w:afterAutospacing="0" w:lineRule="auto"/>
        <w:ind w:left="720" w:hanging="360"/>
        <w:rPr>
          <w:color w:val="666666"/>
        </w:rPr>
      </w:pPr>
      <w:r w:rsidDel="00000000" w:rsidR="00000000" w:rsidRPr="00000000">
        <w:rPr>
          <w:b w:val="1"/>
          <w:bCs w:val="1"/>
          <w:color w:val="666666"/>
          <w:rtl w:val="0"/>
        </w:rPr>
        <w:t xml:space="preserve">Finance &amp; HR Assistants:</w:t>
      </w:r>
      <w:r w:rsidDel="00000000" w:rsidR="00000000" w:rsidRPr="00000000">
        <w:rPr>
          <w:color w:val="666666"/>
          <w:rtl w:val="0"/>
        </w:rPr>
        <w:t xml:space="preserve"> Dedicated support staff handling transactional finance and personnel administration.</w:t>
      </w:r>
    </w:p>
    <w:p w:rsidR="00000000" w:rsidDel="00000000" w:rsidP="00000000" w:rsidRDefault="00000000" w:rsidRPr="00000000" w14:paraId="00000058">
      <w:pPr>
        <w:numPr>
          <w:ilvl w:val="0"/>
          <w:numId w:val="11"/>
        </w:numPr>
        <w:pBdr>
          <w:top w:color="auto" w:space="0" w:sz="0" w:val="none"/>
          <w:bottom w:color="auto" w:space="0" w:sz="0" w:val="none"/>
          <w:right w:color="auto" w:space="0" w:sz="0" w:val="none"/>
          <w:between w:color="auto" w:space="0" w:sz="0" w:val="none"/>
        </w:pBdr>
        <w:spacing w:after="0" w:afterAutospacing="0" w:lineRule="auto"/>
        <w:ind w:left="720" w:hanging="360"/>
        <w:rPr>
          <w:color w:val="666666"/>
        </w:rPr>
      </w:pPr>
      <w:r w:rsidDel="00000000" w:rsidR="00000000" w:rsidRPr="00000000">
        <w:rPr>
          <w:b w:val="1"/>
          <w:bCs w:val="1"/>
          <w:color w:val="666666"/>
          <w:rtl w:val="0"/>
        </w:rPr>
        <w:t xml:space="preserve">Catering Manager:</w:t>
      </w:r>
      <w:r w:rsidDel="00000000" w:rsidR="00000000" w:rsidRPr="00000000">
        <w:rPr>
          <w:color w:val="666666"/>
          <w:rtl w:val="0"/>
        </w:rPr>
        <w:t xml:space="preserve"> Leading the in-house kitchen function.</w:t>
      </w:r>
    </w:p>
    <w:p w:rsidR="00000000" w:rsidDel="00000000" w:rsidP="00000000" w:rsidRDefault="00000000" w:rsidRPr="00000000" w14:paraId="00000059">
      <w:pPr>
        <w:numPr>
          <w:ilvl w:val="0"/>
          <w:numId w:val="11"/>
        </w:numPr>
        <w:pBdr>
          <w:top w:color="auto" w:space="0" w:sz="0" w:val="none"/>
          <w:bottom w:color="auto" w:space="0" w:sz="0" w:val="none"/>
          <w:right w:color="auto" w:space="0" w:sz="0" w:val="none"/>
          <w:between w:color="auto" w:space="0" w:sz="0" w:val="none"/>
        </w:pBdr>
        <w:spacing w:after="0" w:afterAutospacing="0" w:lineRule="auto"/>
        <w:ind w:left="720" w:hanging="360"/>
        <w:rPr>
          <w:color w:val="666666"/>
        </w:rPr>
      </w:pPr>
      <w:r w:rsidDel="00000000" w:rsidR="00000000" w:rsidRPr="00000000">
        <w:rPr>
          <w:b w:val="1"/>
          <w:bCs w:val="1"/>
          <w:color w:val="666666"/>
          <w:rtl w:val="0"/>
        </w:rPr>
        <w:t xml:space="preserve">Site Manager:</w:t>
      </w:r>
      <w:r w:rsidDel="00000000" w:rsidR="00000000" w:rsidRPr="00000000">
        <w:rPr>
          <w:color w:val="666666"/>
          <w:rtl w:val="0"/>
        </w:rPr>
        <w:t xml:space="preserve"> Managing the site and cleaning team.</w:t>
      </w:r>
    </w:p>
    <w:p w:rsidR="00000000" w:rsidDel="00000000" w:rsidP="00000000" w:rsidRDefault="00000000" w:rsidRPr="00000000" w14:paraId="0000005A">
      <w:pPr>
        <w:numPr>
          <w:ilvl w:val="0"/>
          <w:numId w:val="11"/>
        </w:numPr>
        <w:pBdr>
          <w:top w:color="auto" w:space="0" w:sz="0" w:val="none"/>
          <w:bottom w:color="auto" w:space="0" w:sz="0" w:val="none"/>
          <w:right w:color="auto" w:space="0" w:sz="0" w:val="none"/>
          <w:between w:color="auto" w:space="0" w:sz="0" w:val="none"/>
        </w:pBdr>
        <w:spacing w:after="360" w:lineRule="auto"/>
        <w:ind w:left="720" w:hanging="360"/>
        <w:rPr>
          <w:color w:val="666666"/>
        </w:rPr>
      </w:pPr>
      <w:r w:rsidDel="00000000" w:rsidR="00000000" w:rsidRPr="00000000">
        <w:rPr>
          <w:b w:val="1"/>
          <w:bCs w:val="1"/>
          <w:color w:val="666666"/>
          <w:rtl w:val="0"/>
        </w:rPr>
        <w:t xml:space="preserve">Wraparound Care Lead:</w:t>
      </w:r>
      <w:r w:rsidDel="00000000" w:rsidR="00000000" w:rsidRPr="00000000">
        <w:rPr>
          <w:color w:val="666666"/>
          <w:rtl w:val="0"/>
        </w:rPr>
        <w:t xml:space="preserve"> Managing the "Billesley Stars" provision.</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120" w:lineRule="auto"/>
        <w:rPr>
          <w:b w:val="1"/>
          <w:bCs w:val="1"/>
          <w:color w:val="666666"/>
        </w:rPr>
      </w:pPr>
      <w:r w:rsidDel="00000000" w:rsidR="00000000" w:rsidRPr="00000000">
        <w:rPr>
          <w:b w:val="1"/>
          <w:bCs w:val="1"/>
          <w:color w:val="666666"/>
          <w:rtl w:val="0"/>
        </w:rPr>
        <w:t xml:space="preserve">Tiverton Team (Direct Reports):</w:t>
      </w:r>
    </w:p>
    <w:p w:rsidR="00000000" w:rsidDel="00000000" w:rsidP="00000000" w:rsidRDefault="00000000" w:rsidRPr="00000000" w14:paraId="0000005C">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color w:val="666666"/>
        </w:rPr>
      </w:pPr>
      <w:r w:rsidDel="00000000" w:rsidR="00000000" w:rsidRPr="00000000">
        <w:rPr>
          <w:b w:val="1"/>
          <w:bCs w:val="1"/>
          <w:color w:val="666666"/>
          <w:rtl w:val="0"/>
        </w:rPr>
        <w:t xml:space="preserve">Admin Team:</w:t>
      </w:r>
      <w:r w:rsidDel="00000000" w:rsidR="00000000" w:rsidRPr="00000000">
        <w:rPr>
          <w:color w:val="666666"/>
          <w:rtl w:val="0"/>
        </w:rPr>
        <w:t xml:space="preserve"> A team of two covering reception, attendance, and general admin.</w:t>
      </w:r>
    </w:p>
    <w:p w:rsidR="00000000" w:rsidDel="00000000" w:rsidP="00000000" w:rsidRDefault="00000000" w:rsidRPr="00000000" w14:paraId="0000005D">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color w:val="666666"/>
        </w:rPr>
      </w:pPr>
      <w:r w:rsidDel="00000000" w:rsidR="00000000" w:rsidRPr="00000000">
        <w:rPr>
          <w:b w:val="1"/>
          <w:bCs w:val="1"/>
          <w:color w:val="666666"/>
          <w:rtl w:val="0"/>
        </w:rPr>
        <w:t xml:space="preserve">Site Manager:</w:t>
      </w:r>
      <w:r w:rsidDel="00000000" w:rsidR="00000000" w:rsidRPr="00000000">
        <w:rPr>
          <w:color w:val="666666"/>
          <w:rtl w:val="0"/>
        </w:rPr>
        <w:t xml:space="preserve"> Managing the premises and compliance.</w:t>
      </w:r>
    </w:p>
    <w:p w:rsidR="00000000" w:rsidDel="00000000" w:rsidP="00000000" w:rsidRDefault="00000000" w:rsidRPr="00000000" w14:paraId="0000005E">
      <w:pPr>
        <w:numPr>
          <w:ilvl w:val="0"/>
          <w:numId w:val="3"/>
        </w:numPr>
        <w:pBdr>
          <w:top w:color="auto" w:space="0" w:sz="0" w:val="none"/>
          <w:bottom w:color="auto" w:space="0" w:sz="0" w:val="none"/>
          <w:right w:color="auto" w:space="0" w:sz="0" w:val="none"/>
          <w:between w:color="auto" w:space="0" w:sz="0" w:val="none"/>
        </w:pBdr>
        <w:spacing w:after="360" w:lineRule="auto"/>
        <w:ind w:left="720" w:hanging="360"/>
        <w:rPr>
          <w:color w:val="666666"/>
        </w:rPr>
      </w:pPr>
      <w:r w:rsidDel="00000000" w:rsidR="00000000" w:rsidRPr="00000000">
        <w:rPr>
          <w:b w:val="1"/>
          <w:bCs w:val="1"/>
          <w:color w:val="666666"/>
          <w:rtl w:val="0"/>
        </w:rPr>
        <w:t xml:space="preserve">Lunchtime Supervisors:</w:t>
      </w:r>
      <w:r w:rsidDel="00000000" w:rsidR="00000000" w:rsidRPr="00000000">
        <w:rPr>
          <w:color w:val="666666"/>
          <w:rtl w:val="0"/>
        </w:rPr>
        <w:t xml:space="preserve"> Overseeing the lunchtime supervisor team</w:t>
      </w:r>
    </w:p>
    <w:p w:rsidR="00000000" w:rsidDel="00000000" w:rsidP="00000000" w:rsidRDefault="00000000" w:rsidRPr="00000000" w14:paraId="0000005F">
      <w:pPr>
        <w:pageBreakBefore w:val="0"/>
        <w:ind w:left="720" w:firstLine="0"/>
        <w:rPr>
          <w:color w:val="666666"/>
        </w:rPr>
      </w:pPr>
      <w:r w:rsidDel="00000000" w:rsidR="00000000" w:rsidRPr="00000000">
        <w:rPr>
          <w:rtl w:val="0"/>
        </w:rPr>
      </w:r>
    </w:p>
    <w:p w:rsidR="00000000" w:rsidDel="00000000" w:rsidP="00000000" w:rsidRDefault="00000000" w:rsidRPr="00000000" w14:paraId="00000060">
      <w:pPr>
        <w:pageBreakBefore w:val="0"/>
        <w:ind w:left="720" w:firstLine="0"/>
        <w:rPr>
          <w:color w:val="666666"/>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tbl>
      <w:tblPr>
        <w:tblStyle w:val="Table6"/>
        <w:tblW w:w="10110.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10"/>
        <w:tblGridChange w:id="0">
          <w:tblGrid>
            <w:gridCol w:w="10110"/>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b w:val="1"/>
                <w:bCs w:val="1"/>
                <w:color w:val="ffffff"/>
                <w:sz w:val="24"/>
                <w:szCs w:val="24"/>
              </w:rPr>
            </w:pPr>
            <w:r w:rsidDel="00000000" w:rsidR="00000000" w:rsidRPr="00000000">
              <w:rPr>
                <w:b w:val="1"/>
                <w:bCs w:val="1"/>
                <w:color w:val="ffffff"/>
                <w:sz w:val="24"/>
                <w:szCs w:val="24"/>
                <w:rtl w:val="0"/>
              </w:rPr>
              <w:t xml:space="preserve">Key Relationships (Internal and External)</w:t>
            </w:r>
          </w:p>
        </w:tc>
      </w:tr>
    </w:tbl>
    <w:p w:rsidR="00000000" w:rsidDel="00000000" w:rsidP="00000000" w:rsidRDefault="00000000" w:rsidRPr="00000000" w14:paraId="00000063">
      <w:pPr>
        <w:pageBreakBefore w:val="0"/>
        <w:numPr>
          <w:ilvl w:val="0"/>
          <w:numId w:val="8"/>
        </w:numPr>
        <w:ind w:left="1440" w:hanging="360"/>
        <w:rPr>
          <w:color w:val="666666"/>
          <w:u w:val="none"/>
        </w:rPr>
      </w:pPr>
      <w:r w:rsidDel="00000000" w:rsidR="00000000" w:rsidRPr="00000000">
        <w:rPr>
          <w:color w:val="666666"/>
          <w:rtl w:val="0"/>
        </w:rPr>
        <w:t xml:space="preserve">Overall School Community including Staff and SLT</w:t>
      </w:r>
    </w:p>
    <w:p w:rsidR="00000000" w:rsidDel="00000000" w:rsidP="00000000" w:rsidRDefault="00000000" w:rsidRPr="00000000" w14:paraId="00000064">
      <w:pPr>
        <w:pageBreakBefore w:val="0"/>
        <w:numPr>
          <w:ilvl w:val="0"/>
          <w:numId w:val="8"/>
        </w:numPr>
        <w:ind w:left="1440" w:hanging="360"/>
        <w:rPr>
          <w:color w:val="666666"/>
          <w:u w:val="none"/>
        </w:rPr>
      </w:pPr>
      <w:r w:rsidDel="00000000" w:rsidR="00000000" w:rsidRPr="00000000">
        <w:rPr>
          <w:color w:val="666666"/>
          <w:rtl w:val="0"/>
        </w:rPr>
        <w:t xml:space="preserve">School Principals </w:t>
      </w:r>
    </w:p>
    <w:p w:rsidR="00000000" w:rsidDel="00000000" w:rsidP="00000000" w:rsidRDefault="00000000" w:rsidRPr="00000000" w14:paraId="00000065">
      <w:pPr>
        <w:pageBreakBefore w:val="0"/>
        <w:numPr>
          <w:ilvl w:val="0"/>
          <w:numId w:val="8"/>
        </w:numPr>
        <w:ind w:left="1440" w:hanging="360"/>
        <w:rPr>
          <w:color w:val="666666"/>
          <w:u w:val="none"/>
        </w:rPr>
      </w:pPr>
      <w:r w:rsidDel="00000000" w:rsidR="00000000" w:rsidRPr="00000000">
        <w:rPr>
          <w:color w:val="666666"/>
          <w:rtl w:val="0"/>
        </w:rPr>
        <w:t xml:space="preserve">Regional HR Business Partner</w:t>
      </w:r>
    </w:p>
    <w:p w:rsidR="00000000" w:rsidDel="00000000" w:rsidP="00000000" w:rsidRDefault="00000000" w:rsidRPr="00000000" w14:paraId="00000066">
      <w:pPr>
        <w:pageBreakBefore w:val="0"/>
        <w:numPr>
          <w:ilvl w:val="0"/>
          <w:numId w:val="8"/>
        </w:numPr>
        <w:ind w:left="1440" w:hanging="360"/>
        <w:rPr>
          <w:color w:val="666666"/>
          <w:u w:val="none"/>
        </w:rPr>
      </w:pPr>
      <w:r w:rsidDel="00000000" w:rsidR="00000000" w:rsidRPr="00000000">
        <w:rPr>
          <w:color w:val="666666"/>
          <w:rtl w:val="0"/>
        </w:rPr>
        <w:t xml:space="preserve">Regional Finance Business Partner</w:t>
      </w:r>
    </w:p>
    <w:p w:rsidR="00000000" w:rsidDel="00000000" w:rsidP="00000000" w:rsidRDefault="00000000" w:rsidRPr="00000000" w14:paraId="00000067">
      <w:pPr>
        <w:pageBreakBefore w:val="0"/>
        <w:numPr>
          <w:ilvl w:val="0"/>
          <w:numId w:val="8"/>
        </w:numPr>
        <w:ind w:left="1440" w:hanging="360"/>
        <w:rPr>
          <w:color w:val="666666"/>
          <w:u w:val="none"/>
        </w:rPr>
      </w:pPr>
      <w:r w:rsidDel="00000000" w:rsidR="00000000" w:rsidRPr="00000000">
        <w:rPr>
          <w:color w:val="666666"/>
          <w:rtl w:val="0"/>
        </w:rPr>
        <w:t xml:space="preserve">Finance Director</w:t>
      </w:r>
    </w:p>
    <w:p w:rsidR="00000000" w:rsidDel="00000000" w:rsidP="00000000" w:rsidRDefault="00000000" w:rsidRPr="00000000" w14:paraId="00000068">
      <w:pPr>
        <w:pageBreakBefore w:val="0"/>
        <w:numPr>
          <w:ilvl w:val="0"/>
          <w:numId w:val="8"/>
        </w:numPr>
        <w:ind w:left="1440" w:hanging="360"/>
        <w:rPr>
          <w:color w:val="666666"/>
          <w:u w:val="none"/>
        </w:rPr>
      </w:pPr>
      <w:r w:rsidDel="00000000" w:rsidR="00000000" w:rsidRPr="00000000">
        <w:rPr>
          <w:color w:val="666666"/>
          <w:rtl w:val="0"/>
        </w:rPr>
        <w:t xml:space="preserve">HR Director &amp; Head of HR</w:t>
      </w:r>
    </w:p>
    <w:p w:rsidR="00000000" w:rsidDel="00000000" w:rsidP="00000000" w:rsidRDefault="00000000" w:rsidRPr="00000000" w14:paraId="00000069">
      <w:pPr>
        <w:pageBreakBefore w:val="0"/>
        <w:numPr>
          <w:ilvl w:val="0"/>
          <w:numId w:val="8"/>
        </w:numPr>
        <w:ind w:left="1440" w:hanging="360"/>
        <w:rPr>
          <w:color w:val="666666"/>
          <w:u w:val="none"/>
        </w:rPr>
      </w:pPr>
      <w:r w:rsidDel="00000000" w:rsidR="00000000" w:rsidRPr="00000000">
        <w:rPr>
          <w:color w:val="666666"/>
          <w:rtl w:val="0"/>
        </w:rPr>
        <w:t xml:space="preserve">Estates Director</w:t>
      </w:r>
    </w:p>
    <w:p w:rsidR="00000000" w:rsidDel="00000000" w:rsidP="00000000" w:rsidRDefault="00000000" w:rsidRPr="00000000" w14:paraId="0000006A">
      <w:pPr>
        <w:pageBreakBefore w:val="0"/>
        <w:ind w:left="0" w:firstLine="0"/>
        <w:rPr>
          <w:color w:val="666666"/>
        </w:rPr>
      </w:pPr>
      <w:r w:rsidDel="00000000" w:rsidR="00000000" w:rsidRPr="00000000">
        <w:rPr>
          <w:rtl w:val="0"/>
        </w:rPr>
      </w:r>
    </w:p>
    <w:tbl>
      <w:tblPr>
        <w:tblStyle w:val="Table7"/>
        <w:tblW w:w="10110.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10"/>
        <w:tblGridChange w:id="0">
          <w:tblGrid>
            <w:gridCol w:w="10110"/>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b w:val="1"/>
                <w:bCs w:val="1"/>
                <w:color w:val="ffffff"/>
                <w:sz w:val="24"/>
                <w:szCs w:val="24"/>
              </w:rPr>
            </w:pPr>
            <w:r w:rsidDel="00000000" w:rsidR="00000000" w:rsidRPr="00000000">
              <w:rPr>
                <w:b w:val="1"/>
                <w:bCs w:val="1"/>
                <w:color w:val="ffffff"/>
                <w:sz w:val="24"/>
                <w:szCs w:val="24"/>
                <w:rtl w:val="0"/>
              </w:rPr>
              <w:t xml:space="preserve">Notes</w:t>
            </w:r>
          </w:p>
        </w:tc>
      </w:tr>
    </w:tbl>
    <w:p w:rsidR="00000000" w:rsidDel="00000000" w:rsidP="00000000" w:rsidRDefault="00000000" w:rsidRPr="00000000" w14:paraId="0000006C">
      <w:pPr>
        <w:pageBreakBefore w:val="0"/>
        <w:numPr>
          <w:ilvl w:val="0"/>
          <w:numId w:val="4"/>
        </w:numPr>
        <w:ind w:left="283.46456692913375" w:hanging="360"/>
        <w:rPr>
          <w:color w:val="666666"/>
        </w:rPr>
      </w:pPr>
      <w:r w:rsidDel="00000000" w:rsidR="00000000" w:rsidRPr="00000000">
        <w:rPr>
          <w:color w:val="666666"/>
          <w:rtl w:val="0"/>
        </w:rPr>
        <w:t xml:space="preserve">This role profile is non-contractual and provided for guidance. It will be updated and amended from time to time in accordance with the changing needs of TEFAT. The duties of this post may vary from time to time without changing the general character of the post or level of responsibility entailed; </w:t>
      </w:r>
    </w:p>
    <w:p w:rsidR="00000000" w:rsidDel="00000000" w:rsidP="00000000" w:rsidRDefault="00000000" w:rsidRPr="00000000" w14:paraId="0000006D">
      <w:pPr>
        <w:pageBreakBefore w:val="0"/>
        <w:numPr>
          <w:ilvl w:val="0"/>
          <w:numId w:val="4"/>
        </w:numPr>
        <w:ind w:left="283.46456692913375" w:hanging="360"/>
        <w:rPr>
          <w:color w:val="666666"/>
        </w:rPr>
      </w:pPr>
      <w:r w:rsidDel="00000000" w:rsidR="00000000" w:rsidRPr="00000000">
        <w:rPr>
          <w:color w:val="666666"/>
          <w:rtl w:val="0"/>
        </w:rPr>
        <w:t xml:space="preserve">The responsibilities are subject to the general duties and responsibilities contained in the Statement of Conditions of Employment; and</w:t>
      </w:r>
    </w:p>
    <w:p w:rsidR="00000000" w:rsidDel="00000000" w:rsidP="00000000" w:rsidRDefault="00000000" w:rsidRPr="00000000" w14:paraId="0000006E">
      <w:pPr>
        <w:pageBreakBefore w:val="0"/>
        <w:numPr>
          <w:ilvl w:val="0"/>
          <w:numId w:val="4"/>
        </w:numPr>
        <w:ind w:left="283.46456692913375" w:hanging="360"/>
        <w:rPr>
          <w:color w:val="666666"/>
        </w:rPr>
      </w:pPr>
      <w:r w:rsidDel="00000000" w:rsidR="00000000" w:rsidRPr="00000000">
        <w:rPr>
          <w:color w:val="666666"/>
          <w:rtl w:val="0"/>
        </w:rPr>
        <w:t xml:space="preserve">Recruitment and induction practices to safeguard and promote the welfare of children and/or vulnerable adults apply to this post in addition to the requirement to obtain a Barred list and enhanced Disclosure and Barring Service (DBS) check</w:t>
      </w:r>
    </w:p>
    <w:p w:rsidR="00000000" w:rsidDel="00000000" w:rsidP="00000000" w:rsidRDefault="00000000" w:rsidRPr="00000000" w14:paraId="0000006F">
      <w:pPr>
        <w:pageBreakBefore w:val="0"/>
        <w:rPr>
          <w:color w:val="666666"/>
        </w:rPr>
      </w:pPr>
      <w:r w:rsidDel="00000000" w:rsidR="00000000" w:rsidRPr="00000000">
        <w:br w:type="page"/>
      </w: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tbl>
      <w:tblPr>
        <w:tblStyle w:val="Table8"/>
        <w:tblW w:w="10035.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color w:val="ffffff"/>
              </w:rPr>
            </w:pPr>
            <w:r w:rsidDel="00000000" w:rsidR="00000000" w:rsidRPr="00000000">
              <w:rPr>
                <w:b w:val="1"/>
                <w:bCs w:val="1"/>
                <w:color w:val="ffffff"/>
                <w:sz w:val="24"/>
                <w:szCs w:val="24"/>
                <w:rtl w:val="0"/>
              </w:rPr>
              <w:t xml:space="preserve">Person Specification - </w:t>
            </w:r>
            <w:r w:rsidDel="00000000" w:rsidR="00000000" w:rsidRPr="00000000">
              <w:rPr>
                <w:rtl w:val="0"/>
              </w:rPr>
            </w:r>
          </w:p>
        </w:tc>
      </w:tr>
    </w:tbl>
    <w:p w:rsidR="00000000" w:rsidDel="00000000" w:rsidP="00000000" w:rsidRDefault="00000000" w:rsidRPr="00000000" w14:paraId="00000072">
      <w:pPr>
        <w:pageBreakBefore w:val="0"/>
        <w:rPr/>
      </w:pPr>
      <w:r w:rsidDel="00000000" w:rsidR="00000000" w:rsidRPr="00000000">
        <w:rPr>
          <w:rtl w:val="0"/>
        </w:rPr>
      </w:r>
    </w:p>
    <w:tbl>
      <w:tblPr>
        <w:tblStyle w:val="Table9"/>
        <w:tblW w:w="1000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0"/>
        <w:gridCol w:w="4875"/>
        <w:tblGridChange w:id="0">
          <w:tblGrid>
            <w:gridCol w:w="5130"/>
            <w:gridCol w:w="487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jc w:val="center"/>
              <w:rPr>
                <w:b w:val="1"/>
                <w:bCs w:val="1"/>
                <w:color w:val="666666"/>
              </w:rPr>
            </w:pPr>
            <w:r w:rsidDel="00000000" w:rsidR="00000000" w:rsidRPr="00000000">
              <w:rPr>
                <w:b w:val="1"/>
                <w:bCs w:val="1"/>
                <w:color w:val="666666"/>
                <w:rtl w:val="0"/>
              </w:rPr>
              <w:t xml:space="preserve">Essential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jc w:val="center"/>
              <w:rPr>
                <w:b w:val="1"/>
                <w:bCs w:val="1"/>
                <w:color w:val="666666"/>
              </w:rPr>
            </w:pPr>
            <w:r w:rsidDel="00000000" w:rsidR="00000000" w:rsidRPr="00000000">
              <w:rPr>
                <w:b w:val="1"/>
                <w:bCs w:val="1"/>
                <w:color w:val="666666"/>
                <w:rtl w:val="0"/>
              </w:rPr>
              <w:t xml:space="preserve">Desirable</w:t>
            </w:r>
          </w:p>
        </w:tc>
      </w:tr>
      <w:tr>
        <w:trPr>
          <w:cantSplit w:val="0"/>
          <w:trHeight w:val="420" w:hRule="atLeast"/>
          <w:tblHeader w:val="0"/>
        </w:trPr>
        <w:tc>
          <w:tcPr>
            <w:gridSpan w:val="2"/>
            <w:shd w:fill="1591d1" w:val="clear"/>
          </w:tcPr>
          <w:p w:rsidR="00000000" w:rsidDel="00000000" w:rsidP="00000000" w:rsidRDefault="00000000" w:rsidRPr="00000000" w14:paraId="00000075">
            <w:pPr>
              <w:widowControl w:val="0"/>
              <w:spacing w:line="240" w:lineRule="auto"/>
              <w:rPr>
                <w:b w:val="1"/>
                <w:bCs w:val="1"/>
                <w:color w:val="ffffff"/>
              </w:rPr>
            </w:pPr>
            <w:r w:rsidDel="00000000" w:rsidR="00000000" w:rsidRPr="00000000">
              <w:rPr>
                <w:b w:val="1"/>
                <w:bCs w:val="1"/>
                <w:color w:val="ffffff"/>
                <w:rtl w:val="0"/>
              </w:rPr>
              <w:t xml:space="preserve">Knowledge and Experience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Good standard of education (to A level including GCSE English/Maths or equiv.)</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Degree level education</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CSBM/DSBM (Certificate/Diploma in School Business Management) OR relevant degree/accountancy qualification (NVQ L4+).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Health &amp; Safety Qualification (IOSH / NEBOSH)</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Experience conducting Finance and/or HR in a school/education setting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CIPD or accountancy qualification.</w:t>
            </w:r>
          </w:p>
        </w:tc>
      </w:tr>
      <w:tr>
        <w:trPr>
          <w:cantSplit w:val="0"/>
          <w:trHeight w:val="420" w:hRule="atLeast"/>
          <w:tblHeader w:val="0"/>
        </w:trPr>
        <w:tc>
          <w:tcPr>
            <w:gridSpan w:val="2"/>
            <w:shd w:fill="1591d1" w:val="clear"/>
          </w:tcPr>
          <w:p w:rsidR="00000000" w:rsidDel="00000000" w:rsidP="00000000" w:rsidRDefault="00000000" w:rsidRPr="00000000" w14:paraId="0000007D">
            <w:pPr>
              <w:widowControl w:val="0"/>
              <w:spacing w:line="240" w:lineRule="auto"/>
              <w:rPr>
                <w:b w:val="1"/>
                <w:bCs w:val="1"/>
                <w:color w:val="ffffff"/>
              </w:rPr>
            </w:pPr>
            <w:r w:rsidDel="00000000" w:rsidR="00000000" w:rsidRPr="00000000">
              <w:rPr>
                <w:b w:val="1"/>
                <w:bCs w:val="1"/>
                <w:color w:val="ffffff"/>
                <w:rtl w:val="0"/>
              </w:rPr>
              <w:t xml:space="preserve">Professional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jc w:val="left"/>
              <w:rPr>
                <w:color w:val="666666"/>
              </w:rPr>
            </w:pPr>
            <w:r w:rsidDel="00000000" w:rsidR="00000000" w:rsidRPr="00000000">
              <w:rPr>
                <w:color w:val="666666"/>
                <w:rtl w:val="0"/>
              </w:rPr>
              <w:t xml:space="preserve">Versatility: Ability to switch between strategic oversight and hands-on delivery.</w:t>
            </w:r>
          </w:p>
          <w:p w:rsidR="00000000" w:rsidDel="00000000" w:rsidP="00000000" w:rsidRDefault="00000000" w:rsidRPr="00000000" w14:paraId="00000080">
            <w:pPr>
              <w:pageBreakBefore w:val="0"/>
              <w:widowControl w:val="0"/>
              <w:spacing w:line="240" w:lineRule="auto"/>
              <w:jc w:val="center"/>
              <w:rPr>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color w:val="666666"/>
              </w:rPr>
            </w:pPr>
            <w:r w:rsidDel="00000000" w:rsidR="00000000" w:rsidRPr="00000000">
              <w:rPr>
                <w:color w:val="666666"/>
                <w:rtl w:val="0"/>
              </w:rPr>
              <w:t xml:space="preserve">Experience of Google Workspace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jc w:val="left"/>
              <w:rPr>
                <w:color w:val="666666"/>
              </w:rPr>
            </w:pPr>
            <w:r w:rsidDel="00000000" w:rsidR="00000000" w:rsidRPr="00000000">
              <w:rPr>
                <w:color w:val="666666"/>
                <w:rtl w:val="0"/>
              </w:rPr>
              <w:t xml:space="preserve">IT Literacy: Proficient in either Google Workspace (Sheets/Docs) or Microsoft (Excel/Word) and some form of mainstream financial software.</w:t>
            </w:r>
          </w:p>
          <w:p w:rsidR="00000000" w:rsidDel="00000000" w:rsidP="00000000" w:rsidRDefault="00000000" w:rsidRPr="00000000" w14:paraId="00000083">
            <w:pPr>
              <w:pageBreakBefore w:val="0"/>
              <w:widowControl w:val="0"/>
              <w:spacing w:line="240" w:lineRule="auto"/>
              <w:jc w:val="left"/>
              <w:rPr>
                <w:color w:val="666666"/>
              </w:rPr>
            </w:pPr>
            <w:r w:rsidDel="00000000" w:rsidR="00000000" w:rsidRPr="00000000">
              <w:rPr>
                <w:color w:val="666666"/>
                <w:rtl w:val="0"/>
              </w:rPr>
              <w:t xml:space="preserve">Strategic Thinking: Ability to link financial planning to educational outcomes.</w:t>
            </w:r>
          </w:p>
          <w:p w:rsidR="00000000" w:rsidDel="00000000" w:rsidP="00000000" w:rsidRDefault="00000000" w:rsidRPr="00000000" w14:paraId="00000084">
            <w:pPr>
              <w:pageBreakBefore w:val="0"/>
              <w:widowControl w:val="0"/>
              <w:spacing w:line="240" w:lineRule="auto"/>
              <w:jc w:val="center"/>
              <w:rPr>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Ability to write successful grant bids.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jc w:val="left"/>
              <w:rPr>
                <w:color w:val="666666"/>
              </w:rPr>
            </w:pPr>
            <w:r w:rsidDel="00000000" w:rsidR="00000000" w:rsidRPr="00000000">
              <w:rPr>
                <w:color w:val="666666"/>
                <w:rtl w:val="0"/>
              </w:rPr>
              <w:t xml:space="preserve">Organisation: Exceptional time management to balance the demands of two Principals and sites.</w:t>
            </w:r>
          </w:p>
          <w:p w:rsidR="00000000" w:rsidDel="00000000" w:rsidP="00000000" w:rsidRDefault="00000000" w:rsidRPr="00000000" w14:paraId="00000087">
            <w:pPr>
              <w:pageBreakBefore w:val="0"/>
              <w:widowControl w:val="0"/>
              <w:spacing w:line="240" w:lineRule="auto"/>
              <w:jc w:val="center"/>
              <w:rPr>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color w:val="666666"/>
              </w:rPr>
            </w:pPr>
            <w:r w:rsidDel="00000000" w:rsidR="00000000" w:rsidRPr="00000000">
              <w:rPr>
                <w:rtl w:val="0"/>
              </w:rPr>
            </w:r>
          </w:p>
        </w:tc>
      </w:tr>
      <w:tr>
        <w:trPr>
          <w:cantSplit w:val="0"/>
          <w:trHeight w:val="420" w:hRule="atLeast"/>
          <w:tblHeader w:val="0"/>
        </w:trPr>
        <w:tc>
          <w:tcPr>
            <w:gridSpan w:val="2"/>
            <w:shd w:fill="1591d1" w:val="clear"/>
          </w:tcPr>
          <w:p w:rsidR="00000000" w:rsidDel="00000000" w:rsidP="00000000" w:rsidRDefault="00000000" w:rsidRPr="00000000" w14:paraId="00000089">
            <w:pPr>
              <w:widowControl w:val="0"/>
              <w:spacing w:line="240" w:lineRule="auto"/>
              <w:rPr>
                <w:b w:val="1"/>
                <w:bCs w:val="1"/>
                <w:color w:val="ffffff"/>
              </w:rPr>
            </w:pPr>
            <w:r w:rsidDel="00000000" w:rsidR="00000000" w:rsidRPr="00000000">
              <w:rPr>
                <w:b w:val="1"/>
                <w:bCs w:val="1"/>
                <w:color w:val="ffffff"/>
                <w:rtl w:val="0"/>
              </w:rPr>
              <w:t xml:space="preserve">Personal Qualities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jc w:val="center"/>
              <w:rPr>
                <w:b w:val="1"/>
                <w:bCs w:val="1"/>
                <w:color w:val="666666"/>
                <w:shd w:fill="c9daf8" w:val="clear"/>
              </w:rPr>
            </w:pPr>
            <w:r w:rsidDel="00000000" w:rsidR="00000000" w:rsidRPr="00000000">
              <w:rPr>
                <w:b w:val="1"/>
                <w:bCs w:val="1"/>
                <w:color w:val="666666"/>
                <w:shd w:fill="c9daf8" w:val="clear"/>
                <w:rtl w:val="0"/>
              </w:rPr>
              <w:t xml:space="preserve">Essential</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jc w:val="center"/>
              <w:rPr>
                <w:b w:val="1"/>
                <w:bCs w:val="1"/>
                <w:color w:val="666666"/>
                <w:shd w:fill="c9daf8" w:val="clear"/>
              </w:rPr>
            </w:pPr>
            <w:r w:rsidDel="00000000" w:rsidR="00000000" w:rsidRPr="00000000">
              <w:rPr>
                <w:b w:val="1"/>
                <w:bCs w:val="1"/>
                <w:color w:val="666666"/>
                <w:shd w:fill="c9daf8" w:val="clear"/>
                <w:rtl w:val="0"/>
              </w:rPr>
              <w:t xml:space="preserve">Desirable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jc w:val="left"/>
              <w:rPr>
                <w:color w:val="666666"/>
              </w:rPr>
            </w:pPr>
            <w:r w:rsidDel="00000000" w:rsidR="00000000" w:rsidRPr="00000000">
              <w:rPr>
                <w:color w:val="666666"/>
                <w:rtl w:val="0"/>
              </w:rPr>
              <w:t xml:space="preserve">Commitment to the Nolan Principles (Selflessness, Integrity, Objectivity, Accountability, Openness, Honesty, Leadership).</w:t>
            </w:r>
          </w:p>
          <w:p w:rsidR="00000000" w:rsidDel="00000000" w:rsidP="00000000" w:rsidRDefault="00000000" w:rsidRPr="00000000" w14:paraId="0000008E">
            <w:pPr>
              <w:pageBreakBefore w:val="0"/>
              <w:widowControl w:val="0"/>
              <w:spacing w:line="240" w:lineRule="auto"/>
              <w:jc w:val="center"/>
              <w:rPr>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color w:val="66666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jc w:val="left"/>
              <w:rPr>
                <w:color w:val="666666"/>
              </w:rPr>
            </w:pPr>
            <w:r w:rsidDel="00000000" w:rsidR="00000000" w:rsidRPr="00000000">
              <w:rPr>
                <w:color w:val="666666"/>
                <w:rtl w:val="0"/>
              </w:rPr>
              <w:t xml:space="preserve">Resilience and the ability to work under pressure.</w:t>
            </w:r>
          </w:p>
          <w:p w:rsidR="00000000" w:rsidDel="00000000" w:rsidP="00000000" w:rsidRDefault="00000000" w:rsidRPr="00000000" w14:paraId="00000091">
            <w:pPr>
              <w:pageBreakBefore w:val="0"/>
              <w:widowControl w:val="0"/>
              <w:spacing w:line="240" w:lineRule="auto"/>
              <w:jc w:val="center"/>
              <w:rPr>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color w:val="66666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480" w:lineRule="auto"/>
              <w:rPr>
                <w:color w:val="666666"/>
              </w:rPr>
            </w:pPr>
            <w:r w:rsidDel="00000000" w:rsidR="00000000" w:rsidRPr="00000000">
              <w:rPr>
                <w:color w:val="666666"/>
                <w:rtl w:val="0"/>
              </w:rPr>
              <w:t xml:space="preserve">A collaborative team player who engages positively with the Trust Central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color w:val="66666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jc w:val="left"/>
              <w:rPr>
                <w:color w:val="666666"/>
              </w:rPr>
            </w:pPr>
            <w:r w:rsidDel="00000000" w:rsidR="00000000" w:rsidRPr="00000000">
              <w:rPr>
                <w:color w:val="666666"/>
                <w:rtl w:val="0"/>
              </w:rPr>
              <w:t xml:space="preserve">Passionate about providing an excellent service for children and the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color w:val="66666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jc w:val="left"/>
              <w:rPr>
                <w:color w:val="666666"/>
              </w:rPr>
            </w:pPr>
            <w:r w:rsidDel="00000000" w:rsidR="00000000" w:rsidRPr="00000000">
              <w:rPr>
                <w:color w:val="666666"/>
                <w:rtl w:val="0"/>
              </w:rPr>
              <w:t xml:space="preserve">A commitment to Equal Opportunities, as outlined in the Elliot Foundation Equal Opportunities Policy</w:t>
            </w:r>
          </w:p>
          <w:p w:rsidR="00000000" w:rsidDel="00000000" w:rsidP="00000000" w:rsidRDefault="00000000" w:rsidRPr="00000000" w14:paraId="00000098">
            <w:pPr>
              <w:pageBreakBefore w:val="0"/>
              <w:widowControl w:val="0"/>
              <w:spacing w:line="240" w:lineRule="auto"/>
              <w:jc w:val="center"/>
              <w:rPr>
                <w:color w:val="66666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color w:val="666666"/>
              </w:rPr>
            </w:pPr>
            <w:r w:rsidDel="00000000" w:rsidR="00000000" w:rsidRPr="00000000">
              <w:rPr>
                <w:rtl w:val="0"/>
              </w:rPr>
            </w:r>
          </w:p>
        </w:tc>
      </w:tr>
    </w:tbl>
    <w:p w:rsidR="00000000" w:rsidDel="00000000" w:rsidP="00000000" w:rsidRDefault="00000000" w:rsidRPr="00000000" w14:paraId="0000009A">
      <w:pPr>
        <w:pageBreakBefore w:val="0"/>
        <w:spacing w:line="276" w:lineRule="auto"/>
        <w:jc w:val="both"/>
        <w:rPr>
          <w:color w:val="666666"/>
          <w:highlight w:val="yellow"/>
        </w:rPr>
      </w:pPr>
      <w:r w:rsidDel="00000000" w:rsidR="00000000" w:rsidRPr="00000000">
        <w:rPr>
          <w:rtl w:val="0"/>
        </w:rPr>
      </w:r>
    </w:p>
    <w:sectPr>
      <w:headerReference r:id="rId7" w:type="first"/>
      <w:footerReference r:id="rId8" w:type="default"/>
      <w:footerReference r:id="rId9" w:type="first"/>
      <w:pgSz w:h="16838" w:w="11906" w:orient="portrait"/>
      <w:pgMar w:bottom="1440.0000000000002" w:top="1020.47244094488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ageBreakBefore w:val="0"/>
      <w:tabs>
        <w:tab w:val="center" w:leader="none" w:pos="4513"/>
        <w:tab w:val="right" w:leader="none" w:pos="9026"/>
      </w:tabs>
      <w:spacing w:line="240" w:lineRule="auto"/>
      <w:jc w:val="left"/>
      <w:rPr>
        <w:rFonts w:ascii="Calibri" w:cs="Calibri" w:eastAsia="Calibri" w:hAnsi="Calibri"/>
        <w:b w:val="1"/>
        <w:bCs w:val="1"/>
        <w:color w:val="666666"/>
      </w:rPr>
    </w:pPr>
    <w:r w:rsidDel="00000000" w:rsidR="00000000" w:rsidRPr="00000000">
      <w:rPr>
        <w:rtl w:val="0"/>
      </w:rPr>
    </w:r>
  </w:p>
  <w:tbl>
    <w:tblPr>
      <w:tblStyle w:val="Table10"/>
      <w:tblW w:w="105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1591d1" w:val="clear"/>
          <w:tcMar>
            <w:top w:w="100.0" w:type="dxa"/>
            <w:left w:w="100.0" w:type="dxa"/>
            <w:bottom w:w="100.0" w:type="dxa"/>
            <w:right w:w="100.0" w:type="dxa"/>
          </w:tcMar>
          <w:vAlign w:val="top"/>
        </w:tcPr>
        <w:p w:rsidR="00000000" w:rsidDel="00000000" w:rsidP="00000000" w:rsidRDefault="00000000" w:rsidRPr="00000000" w14:paraId="0000009C">
          <w:pPr>
            <w:pageBreakBefore w:val="0"/>
            <w:tabs>
              <w:tab w:val="center" w:leader="none" w:pos="4513"/>
              <w:tab w:val="right" w:leader="none" w:pos="9026"/>
            </w:tabs>
            <w:spacing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Telephone: 0207 278 7131 Email: info@elliotfoundation.co.uk Website: www.elliotfoundation.co.uk</w:t>
          </w:r>
        </w:p>
      </w:tc>
    </w:tr>
  </w:tbl>
  <w:p w:rsidR="00000000" w:rsidDel="00000000" w:rsidP="00000000" w:rsidRDefault="00000000" w:rsidRPr="00000000" w14:paraId="0000009D">
    <w:pPr>
      <w:pageBreakBefore w:val="0"/>
      <w:tabs>
        <w:tab w:val="center" w:leader="none" w:pos="4513"/>
        <w:tab w:val="right" w:leader="none" w:pos="9026"/>
      </w:tabs>
      <w:spacing w:line="240" w:lineRule="auto"/>
      <w:jc w:val="center"/>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ageBreakBefore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color w:val="66666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