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DC" w:rsidRPr="005466DC" w:rsidRDefault="005466DC" w:rsidP="005466DC">
      <w:pPr>
        <w:keepNext/>
        <w:tabs>
          <w:tab w:val="left" w:pos="676"/>
        </w:tabs>
        <w:ind w:right="-42"/>
        <w:jc w:val="center"/>
        <w:outlineLvl w:val="2"/>
        <w:rPr>
          <w:rFonts w:ascii="Calibri" w:hAnsi="Calibri" w:cs="Arial"/>
          <w:b/>
          <w:sz w:val="24"/>
          <w:szCs w:val="24"/>
          <w:lang w:eastAsia="en-GB"/>
        </w:rPr>
      </w:pPr>
      <w:bookmarkStart w:id="0" w:name="_Toc226863997"/>
      <w:bookmarkStart w:id="1" w:name="_Toc226864246"/>
      <w:bookmarkStart w:id="2" w:name="_Toc230418153"/>
      <w:bookmarkStart w:id="3" w:name="_Toc230418421"/>
      <w:r w:rsidRPr="005466DC">
        <w:rPr>
          <w:rFonts w:ascii="Calibri" w:hAnsi="Calibri" w:cs="Arial"/>
          <w:b/>
          <w:sz w:val="24"/>
          <w:szCs w:val="24"/>
          <w:lang w:eastAsia="en-GB"/>
        </w:rPr>
        <w:t>PERSON SPECIFICATION</w:t>
      </w:r>
      <w:bookmarkEnd w:id="0"/>
      <w:bookmarkEnd w:id="1"/>
      <w:bookmarkEnd w:id="2"/>
      <w:bookmarkEnd w:id="3"/>
    </w:p>
    <w:p w:rsidR="005466DC" w:rsidRPr="005466DC" w:rsidRDefault="005466DC" w:rsidP="005466DC">
      <w:pPr>
        <w:tabs>
          <w:tab w:val="left" w:pos="1549"/>
          <w:tab w:val="left" w:pos="5638"/>
          <w:tab w:val="left" w:pos="6913"/>
        </w:tabs>
        <w:ind w:right="403"/>
        <w:rPr>
          <w:rFonts w:ascii="Calibri" w:hAnsi="Calibri" w:cs="Arial"/>
          <w:sz w:val="24"/>
          <w:szCs w:val="24"/>
          <w:lang w:eastAsia="en-GB"/>
        </w:rPr>
      </w:pPr>
      <w:r w:rsidRPr="005466DC">
        <w:rPr>
          <w:rFonts w:ascii="Calibri" w:hAnsi="Calibri" w:cs="Arial"/>
          <w:b/>
          <w:sz w:val="24"/>
          <w:szCs w:val="24"/>
          <w:lang w:eastAsia="en-GB"/>
        </w:rPr>
        <w:tab/>
      </w:r>
      <w:r w:rsidRPr="005466DC">
        <w:rPr>
          <w:rFonts w:ascii="Calibri" w:hAnsi="Calibri" w:cs="Arial"/>
          <w:sz w:val="24"/>
          <w:szCs w:val="24"/>
          <w:lang w:eastAsia="en-GB"/>
        </w:rPr>
        <w:tab/>
      </w:r>
      <w:r w:rsidRPr="005466DC">
        <w:rPr>
          <w:rFonts w:ascii="Calibri" w:hAnsi="Calibri" w:cs="Arial"/>
          <w:b/>
          <w:sz w:val="24"/>
          <w:szCs w:val="24"/>
          <w:lang w:eastAsia="en-GB"/>
        </w:rPr>
        <w:tab/>
      </w:r>
    </w:p>
    <w:p w:rsidR="005466DC" w:rsidRPr="005466DC" w:rsidRDefault="005466DC" w:rsidP="005466DC">
      <w:pPr>
        <w:keepNext/>
        <w:tabs>
          <w:tab w:val="left" w:pos="1549"/>
          <w:tab w:val="left" w:pos="5638"/>
          <w:tab w:val="left" w:pos="6913"/>
        </w:tabs>
        <w:outlineLvl w:val="4"/>
        <w:rPr>
          <w:rFonts w:ascii="Calibri" w:hAnsi="Calibri" w:cs="Arial"/>
          <w:iCs/>
          <w:sz w:val="24"/>
          <w:szCs w:val="24"/>
          <w:lang w:eastAsia="en-GB"/>
        </w:rPr>
      </w:pPr>
      <w:r w:rsidRPr="005466DC">
        <w:rPr>
          <w:rFonts w:ascii="Calibri" w:hAnsi="Calibri" w:cs="Arial"/>
          <w:b/>
          <w:iCs/>
          <w:sz w:val="24"/>
          <w:szCs w:val="24"/>
          <w:lang w:eastAsia="en-GB"/>
        </w:rPr>
        <w:t>Job Title:</w:t>
      </w:r>
      <w:r w:rsidRPr="005466DC">
        <w:rPr>
          <w:rFonts w:ascii="Calibri" w:hAnsi="Calibri" w:cs="Arial"/>
          <w:b/>
          <w:sz w:val="24"/>
          <w:szCs w:val="24"/>
          <w:lang w:eastAsia="en-GB"/>
        </w:rPr>
        <w:tab/>
      </w:r>
      <w:r w:rsidRPr="005466DC">
        <w:rPr>
          <w:rFonts w:ascii="Calibri" w:hAnsi="Calibri" w:cs="Arial"/>
          <w:iCs/>
          <w:sz w:val="24"/>
          <w:szCs w:val="24"/>
          <w:lang w:eastAsia="en-GB"/>
        </w:rPr>
        <w:t>Business Manager</w:t>
      </w:r>
      <w:r w:rsidRPr="005466DC">
        <w:rPr>
          <w:rFonts w:ascii="Calibri" w:hAnsi="Calibri" w:cs="Arial"/>
          <w:sz w:val="24"/>
          <w:szCs w:val="24"/>
          <w:lang w:eastAsia="en-GB"/>
        </w:rPr>
        <w:tab/>
      </w:r>
    </w:p>
    <w:p w:rsidR="005466DC" w:rsidRPr="005466DC" w:rsidRDefault="005466DC" w:rsidP="005466DC">
      <w:pPr>
        <w:tabs>
          <w:tab w:val="left" w:pos="1418"/>
        </w:tabs>
        <w:spacing w:line="240" w:lineRule="exact"/>
        <w:ind w:right="-605"/>
        <w:rPr>
          <w:rFonts w:ascii="Calibri" w:hAnsi="Calibri" w:cs="Arial"/>
          <w:b/>
          <w:sz w:val="24"/>
          <w:szCs w:val="24"/>
          <w:u w:val="single"/>
          <w:lang w:eastAsia="en-GB"/>
        </w:rPr>
      </w:pPr>
      <w:r w:rsidRPr="005466DC">
        <w:rPr>
          <w:rFonts w:ascii="Calibri" w:hAnsi="Calibri" w:cs="Arial"/>
          <w:sz w:val="24"/>
          <w:szCs w:val="24"/>
          <w:lang w:eastAsia="en-GB"/>
        </w:rPr>
        <w:tab/>
      </w:r>
    </w:p>
    <w:p w:rsidR="005466DC" w:rsidRPr="005466DC" w:rsidRDefault="005466DC" w:rsidP="005466DC">
      <w:pPr>
        <w:rPr>
          <w:rFonts w:ascii="Calibri" w:hAnsi="Calibri" w:cs="Arial"/>
          <w:sz w:val="24"/>
          <w:szCs w:val="24"/>
          <w:lang w:eastAsia="en-GB"/>
        </w:rPr>
      </w:pPr>
      <w:r w:rsidRPr="005466DC">
        <w:rPr>
          <w:rFonts w:ascii="Calibri" w:hAnsi="Calibri" w:cs="Arial"/>
          <w:b/>
          <w:sz w:val="24"/>
          <w:szCs w:val="24"/>
          <w:lang w:eastAsia="en-GB"/>
        </w:rPr>
        <w:t xml:space="preserve">Method of Assessment (M.O.A.):  </w:t>
      </w:r>
      <w:r w:rsidRPr="005466DC">
        <w:rPr>
          <w:rFonts w:ascii="Calibri" w:hAnsi="Calibri" w:cs="Arial"/>
          <w:b/>
          <w:sz w:val="24"/>
          <w:szCs w:val="24"/>
          <w:lang w:eastAsia="en-GB"/>
        </w:rPr>
        <w:tab/>
      </w:r>
      <w:r w:rsidRPr="005466DC">
        <w:rPr>
          <w:rFonts w:ascii="Calibri" w:hAnsi="Calibri" w:cs="Arial"/>
          <w:sz w:val="24"/>
          <w:szCs w:val="24"/>
          <w:lang w:eastAsia="en-GB"/>
        </w:rPr>
        <w:t>AF = Application Form</w:t>
      </w:r>
    </w:p>
    <w:p w:rsidR="005466DC" w:rsidRPr="005466DC" w:rsidRDefault="005466DC" w:rsidP="005466DC">
      <w:pPr>
        <w:ind w:left="2880" w:firstLine="720"/>
        <w:rPr>
          <w:rFonts w:ascii="Calibri" w:hAnsi="Calibri" w:cs="Arial"/>
          <w:sz w:val="24"/>
          <w:szCs w:val="24"/>
          <w:lang w:eastAsia="en-GB"/>
        </w:rPr>
      </w:pPr>
      <w:r w:rsidRPr="005466DC">
        <w:rPr>
          <w:rFonts w:ascii="Calibri" w:hAnsi="Calibri" w:cs="Arial"/>
          <w:sz w:val="24"/>
          <w:szCs w:val="24"/>
          <w:lang w:eastAsia="en-GB"/>
        </w:rPr>
        <w:t>I = Interview</w:t>
      </w:r>
    </w:p>
    <w:p w:rsidR="005466DC" w:rsidRPr="005466DC" w:rsidRDefault="005466DC" w:rsidP="005466DC">
      <w:pPr>
        <w:ind w:left="2880" w:firstLine="720"/>
        <w:rPr>
          <w:rFonts w:ascii="Calibri" w:hAnsi="Calibri" w:cs="Arial"/>
          <w:sz w:val="24"/>
          <w:szCs w:val="24"/>
          <w:lang w:eastAsia="en-GB"/>
        </w:rPr>
      </w:pPr>
      <w:r w:rsidRPr="005466DC">
        <w:rPr>
          <w:rFonts w:ascii="Calibri" w:hAnsi="Calibri" w:cs="Arial"/>
          <w:sz w:val="24"/>
          <w:szCs w:val="24"/>
          <w:lang w:eastAsia="en-GB"/>
        </w:rPr>
        <w:t>T = Test or Exercise</w:t>
      </w:r>
    </w:p>
    <w:p w:rsidR="005466DC" w:rsidRPr="005466DC" w:rsidRDefault="005466DC" w:rsidP="005466DC">
      <w:pPr>
        <w:spacing w:after="120"/>
        <w:ind w:left="2880" w:firstLine="720"/>
        <w:rPr>
          <w:rFonts w:ascii="Calibri" w:hAnsi="Calibri" w:cs="Arial"/>
          <w:sz w:val="24"/>
          <w:szCs w:val="24"/>
        </w:rPr>
      </w:pPr>
      <w:r w:rsidRPr="005466DC">
        <w:rPr>
          <w:rFonts w:ascii="Calibri" w:hAnsi="Calibri" w:cs="Arial"/>
          <w:sz w:val="24"/>
          <w:szCs w:val="24"/>
        </w:rPr>
        <w:t>P = Presentation</w:t>
      </w:r>
    </w:p>
    <w:p w:rsidR="008557AB" w:rsidRPr="005466DC" w:rsidRDefault="008557AB" w:rsidP="008557AB">
      <w:pPr>
        <w:pStyle w:val="Heading5"/>
        <w:rPr>
          <w:rFonts w:ascii="Calibri" w:hAnsi="Calibri" w:cstheme="minorHAnsi"/>
          <w:b/>
        </w:rPr>
      </w:pPr>
    </w:p>
    <w:p w:rsidR="008557AB" w:rsidRPr="005466DC" w:rsidRDefault="008557AB" w:rsidP="008557AB">
      <w:pPr>
        <w:rPr>
          <w:rFonts w:ascii="Calibri" w:hAnsi="Calibri"/>
          <w:sz w:val="24"/>
          <w:szCs w:val="24"/>
        </w:rPr>
      </w:pPr>
    </w:p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8046"/>
        <w:gridCol w:w="1137"/>
      </w:tblGrid>
      <w:tr w:rsidR="005466DC" w:rsidRPr="005466DC" w:rsidTr="005466DC">
        <w:tc>
          <w:tcPr>
            <w:tcW w:w="8046" w:type="dxa"/>
          </w:tcPr>
          <w:p w:rsidR="005466DC" w:rsidRPr="005466DC" w:rsidRDefault="005466DC" w:rsidP="00B73861">
            <w:pPr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1137" w:type="dxa"/>
          </w:tcPr>
          <w:p w:rsidR="005466DC" w:rsidRPr="005466DC" w:rsidRDefault="005466DC" w:rsidP="00B7386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466DC">
              <w:rPr>
                <w:rFonts w:ascii="Calibri" w:hAnsi="Calibri"/>
                <w:b/>
                <w:sz w:val="24"/>
                <w:szCs w:val="24"/>
              </w:rPr>
              <w:t>M.O.A.</w:t>
            </w:r>
          </w:p>
        </w:tc>
      </w:tr>
      <w:tr w:rsidR="005466DC" w:rsidRPr="005466DC" w:rsidTr="005466DC">
        <w:tc>
          <w:tcPr>
            <w:tcW w:w="8046" w:type="dxa"/>
          </w:tcPr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Experience &amp; Knowledge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Senior financial position</w:t>
            </w:r>
          </w:p>
          <w:p w:rsidR="005466DC" w:rsidRPr="005466DC" w:rsidRDefault="005466DC" w:rsidP="00B73861">
            <w:pPr>
              <w:ind w:left="720"/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Proven management experience at a senior level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sound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knowledge</w:t>
            </w:r>
            <w:r w:rsidRPr="005466DC">
              <w:rPr>
                <w:rFonts w:ascii="Calibri" w:hAnsi="Calibri" w:cstheme="minorHAnsi"/>
                <w:spacing w:val="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2"/>
                <w:sz w:val="24"/>
                <w:szCs w:val="24"/>
              </w:rPr>
              <w:t xml:space="preserve"> public sector f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inancial policies and procedures, budget</w:t>
            </w:r>
            <w:r w:rsidRPr="005466DC">
              <w:rPr>
                <w:rFonts w:ascii="Calibri" w:hAnsi="Calibri" w:cstheme="minorHAnsi"/>
                <w:spacing w:val="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 xml:space="preserve">management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accounting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1"/>
                <w:sz w:val="24"/>
                <w:szCs w:val="24"/>
              </w:rPr>
              <w:t>regulations.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Experience</w:t>
            </w:r>
            <w:r w:rsidRPr="005466DC">
              <w:rPr>
                <w:rFonts w:ascii="Calibri" w:hAnsi="Calibri" w:cstheme="minorHAnsi"/>
                <w:spacing w:val="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producing</w:t>
            </w:r>
            <w:r w:rsidRPr="005466DC">
              <w:rPr>
                <w:rFonts w:ascii="Calibri" w:hAnsi="Calibri" w:cstheme="minorHAnsi"/>
                <w:spacing w:val="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statutory accounts</w:t>
            </w:r>
            <w:r w:rsidRPr="005466DC">
              <w:rPr>
                <w:rFonts w:ascii="Calibri" w:hAnsi="Calibri" w:cstheme="minorHAnsi"/>
                <w:spacing w:val="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under</w:t>
            </w:r>
            <w:r w:rsidRPr="005466DC">
              <w:rPr>
                <w:rFonts w:ascii="Calibri" w:hAnsi="Calibri" w:cstheme="minorHAnsi"/>
                <w:spacing w:val="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the</w:t>
            </w:r>
            <w:r w:rsidRPr="005466DC">
              <w:rPr>
                <w:rFonts w:ascii="Calibri" w:hAnsi="Calibri" w:cstheme="minorHAnsi"/>
                <w:spacing w:val="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Charity Statement</w:t>
            </w:r>
            <w:r w:rsidRPr="005466DC">
              <w:rPr>
                <w:rFonts w:ascii="Calibri" w:hAnsi="Calibri" w:cstheme="minorHAnsi"/>
                <w:spacing w:val="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Recommended</w:t>
            </w:r>
            <w:r w:rsidRPr="005466DC">
              <w:rPr>
                <w:rFonts w:ascii="Calibri" w:hAnsi="Calibri" w:cstheme="minorHAnsi"/>
                <w:spacing w:val="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Practice</w:t>
            </w:r>
            <w:r w:rsidRPr="005466DC">
              <w:rPr>
                <w:rFonts w:ascii="Calibri" w:hAnsi="Calibri" w:cstheme="minorHAnsi"/>
                <w:spacing w:val="46"/>
                <w:w w:val="9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(SORP).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An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in-depth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knowledge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range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computer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applications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including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financial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management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systems and pupil management information systems.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A working knowledge of procurement processes and regulations.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Knowledge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employment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law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Knowledge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facilities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premises</w:t>
            </w:r>
            <w:r w:rsidRPr="005466DC">
              <w:rPr>
                <w:rFonts w:ascii="Calibri" w:hAnsi="Calibri" w:cstheme="minorHAnsi"/>
                <w:spacing w:val="-1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management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Familiarity</w:t>
            </w:r>
            <w:r w:rsidRPr="005466DC">
              <w:rPr>
                <w:rFonts w:ascii="Calibri" w:hAnsi="Calibri" w:cstheme="minorHAnsi"/>
                <w:spacing w:val="-10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with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Health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Safety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legislation</w:t>
            </w:r>
          </w:p>
          <w:p w:rsidR="005466DC" w:rsidRPr="005466DC" w:rsidRDefault="005466DC" w:rsidP="00B73861">
            <w:pPr>
              <w:ind w:left="720"/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Evidence of the ability to communicate in all forms and present complex information in a clear and concise way to a variety of audiences.</w:t>
            </w:r>
          </w:p>
          <w:p w:rsidR="005466DC" w:rsidRPr="005466DC" w:rsidRDefault="005466DC" w:rsidP="00B73861">
            <w:pPr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rFonts w:ascii="Calibri" w:hAnsi="Calibri"/>
                <w:bCs/>
              </w:rPr>
            </w:pPr>
            <w:r w:rsidRPr="005466DC">
              <w:rPr>
                <w:rFonts w:ascii="Calibri" w:hAnsi="Calibri"/>
                <w:bCs/>
              </w:rPr>
              <w:t>AF/I</w:t>
            </w:r>
          </w:p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rFonts w:ascii="Calibri" w:hAnsi="Calibri"/>
                <w:bCs/>
              </w:rPr>
            </w:pPr>
          </w:p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  <w:r w:rsidRPr="005466DC">
              <w:rPr>
                <w:rFonts w:ascii="Calibri" w:hAnsi="Calibri"/>
                <w:bCs/>
              </w:rPr>
              <w:t>AF</w:t>
            </w:r>
            <w:r w:rsidRPr="005466DC">
              <w:rPr>
                <w:bCs/>
              </w:rPr>
              <w:t>/I</w:t>
            </w:r>
          </w:p>
        </w:tc>
      </w:tr>
    </w:tbl>
    <w:p w:rsidR="005466DC" w:rsidRDefault="005466DC"/>
    <w:p w:rsidR="005466DC" w:rsidRDefault="005466DC">
      <w:pPr>
        <w:spacing w:after="200" w:line="276" w:lineRule="auto"/>
      </w:pPr>
      <w:r>
        <w:br w:type="page"/>
      </w:r>
    </w:p>
    <w:p w:rsidR="005466DC" w:rsidRDefault="005466DC"/>
    <w:tbl>
      <w:tblPr>
        <w:tblStyle w:val="TableGrid"/>
        <w:tblW w:w="9183" w:type="dxa"/>
        <w:tblLook w:val="04A0" w:firstRow="1" w:lastRow="0" w:firstColumn="1" w:lastColumn="0" w:noHBand="0" w:noVBand="1"/>
      </w:tblPr>
      <w:tblGrid>
        <w:gridCol w:w="8046"/>
        <w:gridCol w:w="1137"/>
      </w:tblGrid>
      <w:tr w:rsidR="005466DC" w:rsidRPr="005466DC" w:rsidTr="005466DC">
        <w:tc>
          <w:tcPr>
            <w:tcW w:w="8046" w:type="dxa"/>
          </w:tcPr>
          <w:p w:rsidR="005466DC" w:rsidRPr="005466DC" w:rsidRDefault="005466DC" w:rsidP="00B73861">
            <w:pPr>
              <w:jc w:val="center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Criteria</w:t>
            </w:r>
          </w:p>
        </w:tc>
        <w:tc>
          <w:tcPr>
            <w:tcW w:w="1137" w:type="dxa"/>
          </w:tcPr>
          <w:p w:rsidR="005466DC" w:rsidRPr="005466DC" w:rsidRDefault="005466DC" w:rsidP="00B73861">
            <w:pPr>
              <w:rPr>
                <w:rFonts w:ascii="Calibri" w:hAnsi="Calibri"/>
                <w:b/>
                <w:sz w:val="24"/>
                <w:szCs w:val="24"/>
              </w:rPr>
            </w:pPr>
            <w:r w:rsidRPr="005466DC">
              <w:rPr>
                <w:rFonts w:ascii="Calibri" w:hAnsi="Calibri"/>
                <w:b/>
                <w:sz w:val="24"/>
                <w:szCs w:val="24"/>
              </w:rPr>
              <w:t>M.O.A.</w:t>
            </w:r>
          </w:p>
        </w:tc>
      </w:tr>
      <w:tr w:rsidR="005466DC" w:rsidRPr="005466DC" w:rsidTr="005466DC">
        <w:tc>
          <w:tcPr>
            <w:tcW w:w="8046" w:type="dxa"/>
          </w:tcPr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Qualifications</w:t>
            </w:r>
          </w:p>
          <w:p w:rsidR="005466DC" w:rsidRPr="005466DC" w:rsidRDefault="005466DC" w:rsidP="00B73861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Degree or equivalent</w:t>
            </w:r>
          </w:p>
          <w:p w:rsidR="005466DC" w:rsidRPr="005466DC" w:rsidRDefault="005466DC" w:rsidP="00B73861">
            <w:pPr>
              <w:ind w:left="720"/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Fully Qualified Accountant (CIMA, ACCA, CIPFA, ACA)</w:t>
            </w:r>
          </w:p>
          <w:p w:rsidR="005466DC" w:rsidRPr="005466DC" w:rsidRDefault="005466DC" w:rsidP="00B73861">
            <w:pPr>
              <w:ind w:left="720"/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Health &amp; Safety Qualification (NEBOSH, IOSH)</w:t>
            </w:r>
          </w:p>
          <w:p w:rsidR="005466DC" w:rsidRPr="005466DC" w:rsidRDefault="005466DC" w:rsidP="00B73861">
            <w:pPr>
              <w:ind w:left="360"/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</w:tc>
        <w:tc>
          <w:tcPr>
            <w:tcW w:w="1137" w:type="dxa"/>
          </w:tcPr>
          <w:p w:rsidR="005466DC" w:rsidRPr="005466DC" w:rsidRDefault="005466DC" w:rsidP="00B7386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466DC" w:rsidRPr="005466DC" w:rsidTr="005466DC">
        <w:tc>
          <w:tcPr>
            <w:tcW w:w="8046" w:type="dxa"/>
          </w:tcPr>
          <w:p w:rsidR="005466DC" w:rsidRPr="005466DC" w:rsidRDefault="005466DC" w:rsidP="00B73861">
            <w:pPr>
              <w:rPr>
                <w:rFonts w:ascii="Calibri" w:hAnsi="Calibri" w:cstheme="minorHAnsi"/>
                <w:b/>
                <w:sz w:val="24"/>
                <w:szCs w:val="24"/>
              </w:rPr>
            </w:pPr>
          </w:p>
          <w:p w:rsidR="005466DC" w:rsidRPr="005466DC" w:rsidRDefault="005466DC" w:rsidP="00B73861">
            <w:pPr>
              <w:rPr>
                <w:rFonts w:ascii="Calibri" w:hAnsi="Calibri" w:cstheme="minorHAnsi"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Skills</w:t>
            </w:r>
            <w:r w:rsidRPr="005466DC">
              <w:rPr>
                <w:rFonts w:ascii="Calibri" w:hAnsi="Calibri" w:cstheme="minorHAnsi"/>
                <w:b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&amp;</w:t>
            </w:r>
            <w:r w:rsidRPr="005466DC">
              <w:rPr>
                <w:rFonts w:ascii="Calibri" w:hAnsi="Calibri" w:cstheme="minorHAnsi"/>
                <w:b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Personal</w:t>
            </w:r>
            <w:r w:rsidRPr="005466DC">
              <w:rPr>
                <w:rFonts w:ascii="Calibri" w:hAnsi="Calibri" w:cstheme="minorHAnsi"/>
                <w:b/>
                <w:spacing w:val="-1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b/>
                <w:sz w:val="24"/>
                <w:szCs w:val="24"/>
              </w:rPr>
              <w:t>Qualities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 xml:space="preserve"> </w:t>
            </w:r>
          </w:p>
          <w:p w:rsidR="005466DC" w:rsidRPr="005466DC" w:rsidRDefault="005466DC" w:rsidP="00B73861">
            <w:pPr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  <w:lang w:val="en-US"/>
              </w:rPr>
              <w:t>Evidence of the ability to communicate in all forms and present complex information in a clear and concise way to a variety of audiences.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Ability</w:t>
            </w:r>
            <w:r w:rsidRPr="005466DC">
              <w:rPr>
                <w:rFonts w:ascii="Calibri" w:eastAsia="Arial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negotiate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pacing w:val="-1"/>
                <w:sz w:val="24"/>
                <w:szCs w:val="24"/>
              </w:rPr>
              <w:t>with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suppliers to ensure best value.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Ability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line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manage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team</w:t>
            </w:r>
            <w:r w:rsidRPr="005466DC">
              <w:rPr>
                <w:rFonts w:ascii="Calibri" w:hAnsi="Calibri" w:cstheme="minorHAnsi"/>
                <w:spacing w:val="-2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effectively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achieve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the</w:t>
            </w:r>
            <w:r w:rsidRPr="005466DC">
              <w:rPr>
                <w:rFonts w:ascii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best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results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others.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Ability</w:t>
            </w:r>
            <w:r w:rsidRPr="005466DC">
              <w:rPr>
                <w:rFonts w:ascii="Calibri" w:hAnsi="Calibri" w:cstheme="minorHAnsi"/>
                <w:spacing w:val="-10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analyse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interpret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complex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information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make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recommendations.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Ability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develop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maintain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efficient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record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keeping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1"/>
                <w:sz w:val="24"/>
                <w:szCs w:val="24"/>
              </w:rPr>
              <w:t>systems.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  <w:lang w:val="en-US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Handles sensitive issues constructively to resolve conflict.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Manages demanding workloads and meet commitments.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Takes responsibility and accountability</w:t>
            </w:r>
          </w:p>
          <w:p w:rsidR="005466DC" w:rsidRPr="005466DC" w:rsidRDefault="005466DC" w:rsidP="00B73861">
            <w:pPr>
              <w:jc w:val="bot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Develops and nurtures networks within and outside the academy.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Ability</w:t>
            </w:r>
            <w:r w:rsidRPr="005466DC">
              <w:rPr>
                <w:rFonts w:ascii="Calibri" w:hAnsi="Calibri" w:cstheme="minorHAnsi"/>
                <w:spacing w:val="-10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demonstrate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commitment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Equal</w:t>
            </w:r>
            <w:r w:rsidRPr="005466DC">
              <w:rPr>
                <w:rFonts w:ascii="Calibri" w:hAnsi="Calibri" w:cstheme="minorHAnsi"/>
                <w:spacing w:val="-10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Opportunities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Willingness</w:t>
            </w:r>
            <w:r w:rsidRPr="005466DC">
              <w:rPr>
                <w:rFonts w:ascii="Calibri" w:hAnsi="Calibri" w:cstheme="minorHAnsi"/>
                <w:spacing w:val="10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1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participate</w:t>
            </w:r>
            <w:r w:rsidRPr="005466DC">
              <w:rPr>
                <w:rFonts w:ascii="Calibri" w:hAnsi="Calibri" w:cstheme="minorHAnsi"/>
                <w:spacing w:val="1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</w:t>
            </w:r>
            <w:r w:rsidRPr="005466DC">
              <w:rPr>
                <w:rFonts w:ascii="Calibri" w:hAnsi="Calibri" w:cstheme="minorHAnsi"/>
                <w:spacing w:val="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further</w:t>
            </w:r>
            <w:r w:rsidRPr="005466DC">
              <w:rPr>
                <w:rFonts w:ascii="Calibri" w:hAnsi="Calibri" w:cstheme="minorHAnsi"/>
                <w:spacing w:val="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training</w:t>
            </w:r>
            <w:r w:rsidRPr="005466DC">
              <w:rPr>
                <w:rFonts w:ascii="Calibri" w:hAnsi="Calibri" w:cstheme="minorHAnsi"/>
                <w:spacing w:val="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11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developmental</w:t>
            </w:r>
            <w:r w:rsidRPr="005466DC">
              <w:rPr>
                <w:rFonts w:ascii="Calibri" w:hAnsi="Calibri" w:cstheme="minorHAnsi"/>
                <w:spacing w:val="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opportunities</w:t>
            </w:r>
            <w:r w:rsidRPr="005466DC">
              <w:rPr>
                <w:rFonts w:ascii="Calibri" w:hAnsi="Calibri" w:cstheme="minorHAnsi"/>
                <w:spacing w:val="10"/>
                <w:sz w:val="24"/>
                <w:szCs w:val="24"/>
              </w:rPr>
              <w:t>.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pacing w:val="-1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Excellent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interpersonal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skills,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include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students,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staff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parents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pacing w:val="-1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Able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 xml:space="preserve">to work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as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part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team as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well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as</w:t>
            </w:r>
            <w:r w:rsidRPr="005466DC">
              <w:rPr>
                <w:rFonts w:ascii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 xml:space="preserve"> work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independently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problem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solver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  <w:bookmarkStart w:id="4" w:name="_GoBack"/>
            <w:bookmarkEnd w:id="4"/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Ability</w:t>
            </w:r>
            <w:r w:rsidRPr="005466DC">
              <w:rPr>
                <w:rFonts w:ascii="Calibri" w:hAnsi="Calibri" w:cstheme="minorHAnsi"/>
                <w:spacing w:val="-9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enthuse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motivate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colleagues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eastAsia="Arial" w:hAnsi="Calibri" w:cstheme="minorHAnsi"/>
                <w:spacing w:val="-1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eastAsia="Arial" w:hAnsi="Calibri" w:cstheme="minorHAnsi"/>
                <w:spacing w:val="-1"/>
                <w:sz w:val="24"/>
                <w:szCs w:val="24"/>
              </w:rPr>
              <w:t>Good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organisational</w:t>
            </w:r>
            <w:r w:rsidRPr="005466DC">
              <w:rPr>
                <w:rFonts w:ascii="Calibri" w:eastAsia="Arial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skills</w:t>
            </w:r>
            <w:r w:rsidRPr="005466DC">
              <w:rPr>
                <w:rFonts w:ascii="Calibri" w:eastAsia="Arial" w:hAnsi="Calibri" w:cstheme="minorHAnsi"/>
                <w:spacing w:val="-3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–</w:t>
            </w:r>
            <w:r w:rsidRPr="005466DC">
              <w:rPr>
                <w:rFonts w:ascii="Calibri" w:eastAsia="Arial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ensuring</w:t>
            </w:r>
            <w:r w:rsidRPr="005466DC">
              <w:rPr>
                <w:rFonts w:ascii="Calibri" w:eastAsia="Arial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that</w:t>
            </w:r>
            <w:r w:rsidRPr="005466DC">
              <w:rPr>
                <w:rFonts w:ascii="Calibri" w:eastAsia="Arial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pacing w:val="-1"/>
                <w:sz w:val="24"/>
                <w:szCs w:val="24"/>
              </w:rPr>
              <w:t>deadlines</w:t>
            </w:r>
            <w:r w:rsidRPr="005466DC">
              <w:rPr>
                <w:rFonts w:ascii="Calibri" w:eastAsia="Arial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are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met,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pacing w:val="-1"/>
                <w:sz w:val="24"/>
                <w:szCs w:val="24"/>
              </w:rPr>
              <w:t>whilst</w:t>
            </w:r>
            <w:r w:rsidRPr="005466DC">
              <w:rPr>
                <w:rFonts w:ascii="Calibri" w:eastAsia="Arial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maintaining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eastAsia="Arial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life</w:t>
            </w:r>
            <w:r w:rsidRPr="005466DC">
              <w:rPr>
                <w:rFonts w:ascii="Calibri" w:eastAsia="Arial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eastAsia="Arial" w:hAnsi="Calibri" w:cstheme="minorHAnsi"/>
                <w:sz w:val="24"/>
                <w:szCs w:val="24"/>
              </w:rPr>
              <w:t>balance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pacing w:val="-1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Be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open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minded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receptive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new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ideas,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approaches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and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challenges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pacing w:val="-1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An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interest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in</w:t>
            </w:r>
            <w:r w:rsidRPr="005466DC">
              <w:rPr>
                <w:rFonts w:ascii="Calibri" w:hAnsi="Calibri" w:cstheme="minorHAnsi"/>
                <w:spacing w:val="-3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wider</w:t>
            </w:r>
            <w:r w:rsidRPr="005466DC">
              <w:rPr>
                <w:rFonts w:ascii="Calibri" w:hAnsi="Calibri" w:cstheme="minorHAnsi"/>
                <w:spacing w:val="-7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educational</w:t>
            </w:r>
            <w:r w:rsidRPr="005466DC">
              <w:rPr>
                <w:rFonts w:ascii="Calibri" w:hAnsi="Calibri" w:cstheme="minorHAnsi"/>
                <w:spacing w:val="-8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issues</w:t>
            </w:r>
          </w:p>
          <w:p w:rsidR="005466DC" w:rsidRPr="005466DC" w:rsidRDefault="005466DC" w:rsidP="00B73861">
            <w:pPr>
              <w:pStyle w:val="ListParagraph"/>
              <w:rPr>
                <w:rFonts w:ascii="Calibri" w:hAnsi="Calibri" w:cstheme="minorHAnsi"/>
                <w:sz w:val="24"/>
                <w:szCs w:val="24"/>
              </w:rPr>
            </w:pPr>
          </w:p>
          <w:p w:rsidR="005466DC" w:rsidRPr="005466DC" w:rsidRDefault="005466DC" w:rsidP="008557AB">
            <w:pPr>
              <w:numPr>
                <w:ilvl w:val="0"/>
                <w:numId w:val="1"/>
              </w:numPr>
              <w:jc w:val="both"/>
              <w:rPr>
                <w:rFonts w:ascii="Calibri" w:hAnsi="Calibri" w:cstheme="minorHAnsi"/>
                <w:b/>
                <w:sz w:val="24"/>
                <w:szCs w:val="24"/>
              </w:rPr>
            </w:pPr>
            <w:r w:rsidRPr="005466DC">
              <w:rPr>
                <w:rFonts w:ascii="Calibri" w:hAnsi="Calibri" w:cstheme="minorHAnsi"/>
                <w:sz w:val="24"/>
                <w:szCs w:val="24"/>
              </w:rPr>
              <w:t>A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commitment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to</w:t>
            </w:r>
            <w:r w:rsidRPr="005466DC">
              <w:rPr>
                <w:rFonts w:ascii="Calibri" w:hAnsi="Calibri" w:cstheme="minorHAnsi"/>
                <w:spacing w:val="-6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the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ethos</w:t>
            </w:r>
            <w:r w:rsidRPr="005466DC">
              <w:rPr>
                <w:rFonts w:ascii="Calibri" w:hAnsi="Calibri" w:cstheme="minorHAnsi"/>
                <w:spacing w:val="-5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>of</w:t>
            </w:r>
            <w:r w:rsidRPr="005466DC">
              <w:rPr>
                <w:rFonts w:ascii="Calibri" w:hAnsi="Calibri" w:cstheme="minorHAnsi"/>
                <w:spacing w:val="-4"/>
                <w:sz w:val="24"/>
                <w:szCs w:val="24"/>
              </w:rPr>
              <w:t xml:space="preserve"> </w:t>
            </w:r>
            <w:r w:rsidRPr="005466DC">
              <w:rPr>
                <w:rFonts w:ascii="Calibri" w:hAnsi="Calibri" w:cstheme="minorHAnsi"/>
                <w:spacing w:val="-1"/>
                <w:sz w:val="24"/>
                <w:szCs w:val="24"/>
              </w:rPr>
              <w:t>the</w:t>
            </w:r>
            <w:r w:rsidRPr="005466DC">
              <w:rPr>
                <w:rFonts w:ascii="Calibri" w:hAnsi="Calibri" w:cstheme="minorHAnsi"/>
                <w:sz w:val="24"/>
                <w:szCs w:val="24"/>
              </w:rPr>
              <w:t xml:space="preserve"> School</w:t>
            </w:r>
          </w:p>
        </w:tc>
        <w:tc>
          <w:tcPr>
            <w:tcW w:w="1137" w:type="dxa"/>
          </w:tcPr>
          <w:p w:rsidR="005466DC" w:rsidRPr="005466DC" w:rsidRDefault="005466DC" w:rsidP="00B73861">
            <w:pPr>
              <w:pStyle w:val="BodyText2"/>
              <w:tabs>
                <w:tab w:val="left" w:pos="2160"/>
              </w:tabs>
              <w:jc w:val="center"/>
              <w:rPr>
                <w:bCs/>
              </w:rPr>
            </w:pPr>
          </w:p>
        </w:tc>
      </w:tr>
    </w:tbl>
    <w:p w:rsidR="008557AB" w:rsidRPr="005466DC" w:rsidRDefault="008557AB" w:rsidP="008557AB">
      <w:pPr>
        <w:rPr>
          <w:rFonts w:ascii="Calibri" w:hAnsi="Calibri"/>
          <w:sz w:val="24"/>
          <w:szCs w:val="24"/>
        </w:rPr>
      </w:pPr>
    </w:p>
    <w:p w:rsidR="008557AB" w:rsidRPr="005466DC" w:rsidRDefault="008557AB" w:rsidP="008557AB">
      <w:pPr>
        <w:rPr>
          <w:rFonts w:ascii="Calibri" w:hAnsi="Calibri"/>
          <w:sz w:val="24"/>
          <w:szCs w:val="24"/>
        </w:rPr>
      </w:pPr>
    </w:p>
    <w:p w:rsidR="008557AB" w:rsidRPr="005466DC" w:rsidRDefault="008557AB" w:rsidP="008557AB">
      <w:pPr>
        <w:rPr>
          <w:rFonts w:ascii="Calibri" w:hAnsi="Calibri"/>
          <w:sz w:val="24"/>
          <w:szCs w:val="24"/>
        </w:rPr>
      </w:pPr>
    </w:p>
    <w:p w:rsidR="008557AB" w:rsidRPr="005466DC" w:rsidRDefault="008557AB" w:rsidP="008557AB">
      <w:pPr>
        <w:rPr>
          <w:rFonts w:ascii="Calibri" w:hAnsi="Calibri"/>
          <w:sz w:val="24"/>
          <w:szCs w:val="24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8557AB" w:rsidRPr="005466DC" w:rsidRDefault="008557AB" w:rsidP="008557AB">
      <w:pPr>
        <w:pStyle w:val="BodyText"/>
        <w:ind w:left="6480"/>
        <w:rPr>
          <w:rFonts w:ascii="Calibri" w:hAnsi="Calibri" w:cstheme="minorHAnsi"/>
        </w:rPr>
      </w:pPr>
    </w:p>
    <w:p w:rsidR="00BA0B44" w:rsidRPr="005466DC" w:rsidRDefault="00BA0B44">
      <w:pPr>
        <w:rPr>
          <w:rFonts w:ascii="Calibri" w:hAnsi="Calibri"/>
          <w:sz w:val="24"/>
          <w:szCs w:val="24"/>
        </w:rPr>
      </w:pPr>
    </w:p>
    <w:sectPr w:rsidR="00BA0B44" w:rsidRPr="005466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6DC" w:rsidRDefault="005466DC" w:rsidP="005466DC">
      <w:r>
        <w:separator/>
      </w:r>
    </w:p>
  </w:endnote>
  <w:endnote w:type="continuationSeparator" w:id="0">
    <w:p w:rsidR="005466DC" w:rsidRDefault="005466DC" w:rsidP="005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6DC" w:rsidRDefault="005466DC" w:rsidP="005466DC">
      <w:r>
        <w:separator/>
      </w:r>
    </w:p>
  </w:footnote>
  <w:footnote w:type="continuationSeparator" w:id="0">
    <w:p w:rsidR="005466DC" w:rsidRDefault="005466DC" w:rsidP="0054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6DC" w:rsidRDefault="005466DC">
    <w:pPr>
      <w:pStyle w:val="Header"/>
    </w:pPr>
    <w:r>
      <w:tab/>
    </w:r>
    <w:r>
      <w:tab/>
    </w:r>
    <w:r>
      <w:rPr>
        <w:noProof/>
        <w:lang w:eastAsia="en-GB"/>
      </w:rPr>
      <w:drawing>
        <wp:inline distT="0" distB="0" distL="0" distR="0">
          <wp:extent cx="918000" cy="105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 smal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10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6DC" w:rsidRDefault="00546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15D4D"/>
    <w:multiLevelType w:val="hybridMultilevel"/>
    <w:tmpl w:val="69101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7AB"/>
    <w:rsid w:val="005466DC"/>
    <w:rsid w:val="008557AB"/>
    <w:rsid w:val="00BA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557AB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557AB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8557AB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57AB"/>
    <w:rPr>
      <w:rFonts w:ascii="Arial" w:eastAsia="Times New Roman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57AB"/>
    <w:pPr>
      <w:ind w:left="720"/>
    </w:pPr>
  </w:style>
  <w:style w:type="table" w:styleId="TableGrid">
    <w:name w:val="Table Grid"/>
    <w:basedOn w:val="TableNormal"/>
    <w:rsid w:val="0085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6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DC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1"/>
    <w:unhideWhenUsed/>
    <w:rsid w:val="005466DC"/>
    <w:pPr>
      <w:jc w:val="both"/>
    </w:pPr>
    <w:rPr>
      <w:rFonts w:ascii="Arial" w:hAnsi="Arial" w:cs="Arial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uiPriority w:val="99"/>
    <w:semiHidden/>
    <w:rsid w:val="005466D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1">
    <w:name w:val="Body Text 2 Char1"/>
    <w:link w:val="BodyText2"/>
    <w:locked/>
    <w:rsid w:val="005466DC"/>
    <w:rPr>
      <w:rFonts w:ascii="Arial" w:eastAsia="Times New Roman" w:hAnsi="Arial" w:cs="Arial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66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8557AB"/>
    <w:pPr>
      <w:keepNext/>
      <w:jc w:val="center"/>
      <w:outlineLvl w:val="4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557AB"/>
    <w:rPr>
      <w:rFonts w:ascii="Arial" w:eastAsia="Times New Roman" w:hAnsi="Arial" w:cs="Arial"/>
      <w:sz w:val="24"/>
      <w:szCs w:val="24"/>
    </w:rPr>
  </w:style>
  <w:style w:type="paragraph" w:styleId="BodyText">
    <w:name w:val="Body Text"/>
    <w:basedOn w:val="Normal"/>
    <w:link w:val="BodyTextChar"/>
    <w:rsid w:val="008557AB"/>
    <w:rPr>
      <w:rFonts w:ascii="Arial" w:hAnsi="Arial" w:cs="Arial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557AB"/>
    <w:rPr>
      <w:rFonts w:ascii="Arial" w:eastAsia="Times New Roman" w:hAnsi="Arial"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8557AB"/>
    <w:pPr>
      <w:ind w:left="720"/>
    </w:pPr>
  </w:style>
  <w:style w:type="table" w:styleId="TableGrid">
    <w:name w:val="Table Grid"/>
    <w:basedOn w:val="TableNormal"/>
    <w:rsid w:val="008557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466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46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6D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46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6DC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66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6DC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1"/>
    <w:unhideWhenUsed/>
    <w:rsid w:val="005466DC"/>
    <w:pPr>
      <w:jc w:val="both"/>
    </w:pPr>
    <w:rPr>
      <w:rFonts w:ascii="Arial" w:hAnsi="Arial" w:cs="Arial"/>
      <w:sz w:val="24"/>
      <w:szCs w:val="24"/>
      <w:lang w:eastAsia="en-GB"/>
    </w:rPr>
  </w:style>
  <w:style w:type="character" w:customStyle="1" w:styleId="BodyText2Char">
    <w:name w:val="Body Text 2 Char"/>
    <w:basedOn w:val="DefaultParagraphFont"/>
    <w:uiPriority w:val="99"/>
    <w:semiHidden/>
    <w:rsid w:val="005466D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Char1">
    <w:name w:val="Body Text 2 Char1"/>
    <w:link w:val="BodyText2"/>
    <w:locked/>
    <w:rsid w:val="005466DC"/>
    <w:rPr>
      <w:rFonts w:ascii="Arial" w:eastAsia="Times New Roman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Shaun Potter</dc:creator>
  <cp:lastModifiedBy>Shaun Potter</cp:lastModifiedBy>
  <cp:revision>2</cp:revision>
  <dcterms:created xsi:type="dcterms:W3CDTF">2018-06-12T13:09:00Z</dcterms:created>
  <dcterms:modified xsi:type="dcterms:W3CDTF">2018-06-12T13:15:00Z</dcterms:modified>
</cp:coreProperties>
</file>